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1565C0"/>
          <w:sz w:val="20"/>
        </w:rPr>
        <w:t>TEMPLATE</w:t>
      </w:r>
    </w:p>
    <w:p>
      <w:pPr>
        <w:spacing w:after="0"/>
      </w:pPr>
      <w:r>
        <w:rPr>
          <w:b/>
          <w:i w:val="0"/>
          <w:color w:val="1565C0"/>
          <w:sz w:val="60"/>
        </w:rPr>
        <w:t>[Company Name]</w:t>
      </w:r>
    </w:p>
    <w:p>
      <w:pPr>
        <w:spacing w:after="280"/>
      </w:pPr>
      <w:r>
        <w:rPr>
          <w:b/>
          <w:i w:val="0"/>
          <w:color w:val="333333"/>
          <w:sz w:val="40"/>
        </w:rPr>
        <w:t>Artificial Intelligence (AI) Acceptable Use Policy</w:t>
      </w:r>
    </w:p>
    <w:tbl>
      <w:tblPr>
        <w:tblStyle w:val="TableGrid"/>
        <w:tblW w:type="auto" w:w="0"/>
        <w:jc w:val="center"/>
        <w:tblLayout w:type="fixed"/>
        <w:tblLook w:firstColumn="1" w:firstRow="1" w:lastColumn="0" w:lastRow="0" w:noHBand="0" w:noVBand="1" w:val="04A0"/>
      </w:tblPr>
      <w:tblGrid>
        <w:gridCol w:w="2448"/>
        <w:gridCol w:w="6912"/>
      </w:tblGrid>
      <w:tr>
        <w:trPr>
          <w:tblHeader/>
          <w:cantSplit/>
        </w:trPr>
        <w:tc>
          <w:tcPr>
            <w:tcW w:type="dxa" w:w="2448"/>
            <w:shd w:val="clear" w:color="auto" w:fill="1565C0"/>
          </w:tcPr>
          <w:p>
            <w:r/>
            <w:r>
              <w:rPr>
                <w:b/>
                <w:color w:val="FFFFFF"/>
                <w:sz w:val="20"/>
              </w:rPr>
              <w:t>Field</w:t>
            </w:r>
          </w:p>
        </w:tc>
        <w:tc>
          <w:tcPr>
            <w:tcW w:type="dxa" w:w="6912"/>
            <w:shd w:val="clear" w:color="auto" w:fill="1565C0"/>
          </w:tcPr>
          <w:p>
            <w:r/>
            <w:r>
              <w:rPr>
                <w:b/>
                <w:color w:val="FFFFFF"/>
                <w:sz w:val="20"/>
              </w:rPr>
              <w:t>Detail</w:t>
            </w:r>
          </w:p>
        </w:tc>
      </w:tr>
      <w:tr>
        <w:trPr>
          <w:cantSplit/>
        </w:trPr>
        <w:tc>
          <w:tcPr>
            <w:tcW w:type="dxa" w:w="2448"/>
          </w:tcPr>
          <w:p>
            <w:pPr>
              <w:spacing w:after="0"/>
            </w:pPr>
            <w:r/>
            <w:r>
              <w:rPr>
                <w:b w:val="0"/>
                <w:i w:val="0"/>
                <w:sz w:val="20"/>
              </w:rPr>
              <w:t>Policy owner</w:t>
            </w:r>
          </w:p>
        </w:tc>
        <w:tc>
          <w:tcPr>
            <w:tcW w:type="dxa" w:w="6912"/>
          </w:tcPr>
          <w:p>
            <w:pPr>
              <w:spacing w:after="0"/>
            </w:pPr>
            <w:r/>
            <w:r>
              <w:rPr>
                <w:b/>
                <w:i w:val="0"/>
                <w:color w:val="1565C0"/>
                <w:sz w:val="20"/>
              </w:rPr>
              <w:t>[Name, Title — e.g., AI Governance Lead]</w:t>
            </w:r>
          </w:p>
        </w:tc>
      </w:tr>
      <w:tr>
        <w:trPr>
          <w:cantSplit/>
        </w:trPr>
        <w:tc>
          <w:tcPr>
            <w:tcW w:type="dxa" w:w="2448"/>
            <w:shd w:val="clear" w:color="auto" w:fill="EEF5FD"/>
          </w:tcPr>
          <w:p>
            <w:pPr>
              <w:spacing w:after="0"/>
            </w:pPr>
            <w:r/>
            <w:r>
              <w:rPr>
                <w:b w:val="0"/>
                <w:i w:val="0"/>
                <w:sz w:val="20"/>
              </w:rPr>
              <w:t>Approved by</w:t>
            </w:r>
          </w:p>
        </w:tc>
        <w:tc>
          <w:tcPr>
            <w:tcW w:type="dxa" w:w="6912"/>
            <w:shd w:val="clear" w:color="auto" w:fill="EEF5FD"/>
          </w:tcPr>
          <w:p>
            <w:pPr>
              <w:spacing w:after="0"/>
            </w:pPr>
            <w:r/>
            <w:r>
              <w:rPr>
                <w:b/>
                <w:i w:val="0"/>
                <w:color w:val="1565C0"/>
                <w:sz w:val="20"/>
              </w:rPr>
              <w:t>[Name, Title — e.g., CEO / Executive Team]</w:t>
            </w:r>
          </w:p>
        </w:tc>
      </w:tr>
      <w:tr>
        <w:trPr>
          <w:cantSplit/>
        </w:trPr>
        <w:tc>
          <w:tcPr>
            <w:tcW w:type="dxa" w:w="2448"/>
          </w:tcPr>
          <w:p>
            <w:pPr>
              <w:spacing w:after="0"/>
            </w:pPr>
            <w:r/>
            <w:r>
              <w:rPr>
                <w:b w:val="0"/>
                <w:i w:val="0"/>
                <w:sz w:val="20"/>
              </w:rPr>
              <w:t>Effective date</w:t>
            </w:r>
          </w:p>
        </w:tc>
        <w:tc>
          <w:tcPr>
            <w:tcW w:type="dxa" w:w="6912"/>
          </w:tcPr>
          <w:p>
            <w:pPr>
              <w:spacing w:after="0"/>
            </w:pPr>
            <w:r/>
            <w:r>
              <w:rPr>
                <w:b/>
                <w:i w:val="0"/>
                <w:color w:val="1565C0"/>
                <w:sz w:val="20"/>
              </w:rPr>
              <w:t>[Month Day, Year]</w:t>
            </w:r>
          </w:p>
        </w:tc>
      </w:tr>
      <w:tr>
        <w:trPr>
          <w:cantSplit/>
        </w:trPr>
        <w:tc>
          <w:tcPr>
            <w:tcW w:type="dxa" w:w="2448"/>
            <w:shd w:val="clear" w:color="auto" w:fill="EEF5FD"/>
          </w:tcPr>
          <w:p>
            <w:pPr>
              <w:spacing w:after="0"/>
            </w:pPr>
            <w:r/>
            <w:r>
              <w:rPr>
                <w:b w:val="0"/>
                <w:i w:val="0"/>
                <w:sz w:val="20"/>
              </w:rPr>
              <w:t>Version</w:t>
            </w:r>
          </w:p>
        </w:tc>
        <w:tc>
          <w:tcPr>
            <w:tcW w:type="dxa" w:w="6912"/>
            <w:shd w:val="clear" w:color="auto" w:fill="EEF5FD"/>
          </w:tcPr>
          <w:p>
            <w:pPr>
              <w:spacing w:after="0"/>
            </w:pPr>
            <w:r/>
            <w:r>
              <w:rPr>
                <w:b/>
                <w:i w:val="0"/>
                <w:color w:val="1565C0"/>
                <w:sz w:val="20"/>
              </w:rPr>
              <w:t>[1.0]</w:t>
            </w:r>
          </w:p>
        </w:tc>
      </w:tr>
      <w:tr>
        <w:trPr>
          <w:cantSplit/>
        </w:trPr>
        <w:tc>
          <w:tcPr>
            <w:tcW w:type="dxa" w:w="2448"/>
          </w:tcPr>
          <w:p>
            <w:pPr>
              <w:spacing w:after="0"/>
            </w:pPr>
            <w:r/>
            <w:r>
              <w:rPr>
                <w:b w:val="0"/>
                <w:i w:val="0"/>
                <w:sz w:val="20"/>
              </w:rPr>
              <w:t>Next review</w:t>
            </w:r>
          </w:p>
        </w:tc>
        <w:tc>
          <w:tcPr>
            <w:tcW w:type="dxa" w:w="6912"/>
          </w:tcPr>
          <w:p>
            <w:pPr>
              <w:spacing w:after="0"/>
            </w:pPr>
            <w:r/>
            <w:r>
              <w:rPr>
                <w:b/>
                <w:i w:val="0"/>
                <w:color w:val="1565C0"/>
                <w:sz w:val="20"/>
              </w:rPr>
              <w:t>[Effective date + 12 months, or sooner if laws or tools change]</w:t>
            </w:r>
          </w:p>
        </w:tc>
      </w:tr>
      <w:tr>
        <w:trPr>
          <w:cantSplit/>
        </w:trPr>
        <w:tc>
          <w:tcPr>
            <w:tcW w:type="dxa" w:w="2448"/>
            <w:shd w:val="clear" w:color="auto" w:fill="EEF5FD"/>
          </w:tcPr>
          <w:p>
            <w:pPr>
              <w:spacing w:after="0"/>
            </w:pPr>
            <w:r/>
            <w:r>
              <w:rPr>
                <w:b w:val="0"/>
                <w:i w:val="0"/>
                <w:sz w:val="20"/>
              </w:rPr>
              <w:t>Applies to</w:t>
            </w:r>
          </w:p>
        </w:tc>
        <w:tc>
          <w:tcPr>
            <w:tcW w:type="dxa" w:w="6912"/>
            <w:shd w:val="clear" w:color="auto" w:fill="EEF5FD"/>
          </w:tcPr>
          <w:p>
            <w:pPr>
              <w:spacing w:after="0"/>
            </w:pPr>
            <w:r/>
            <w:r>
              <w:rPr>
                <w:b/>
                <w:i w:val="0"/>
                <w:color w:val="1565C0"/>
                <w:sz w:val="20"/>
              </w:rPr>
              <w:t>[All employees, contractors, interns, and vendors acting on our behalf]</w:t>
            </w:r>
          </w:p>
        </w:tc>
      </w:tr>
    </w:tbl>
    <w:p>
      <w:pPr>
        <w:spacing w:after="40"/>
      </w:pPr>
    </w:p>
    <w:tbl>
      <w:tblPr>
        <w:tblStyle w:val="TableGrid"/>
        <w:tblW w:type="auto" w:w="0"/>
        <w:tblLook w:firstColumn="1" w:firstRow="1" w:lastColumn="0" w:lastRow="0" w:noHBand="0" w:noVBand="1" w:val="04A0"/>
      </w:tblPr>
      <w:tblGrid>
        <w:gridCol w:w="9360"/>
      </w:tblGrid>
      <w:tr>
        <w:tc>
          <w:tcPr>
            <w:tcW w:type="dxa" w:w="9360"/>
            <w:shd w:val="clear" w:color="auto" w:fill="FFF8E1"/>
          </w:tcPr>
          <w:p>
            <w:r/>
            <w:r>
              <w:rPr>
                <w:b/>
              </w:rPr>
              <w:t>How to use this template (delete this box before publishing)</w:t>
            </w:r>
          </w:p>
          <w:p>
            <w:pPr>
              <w:pStyle w:val="ListBullet"/>
              <w:spacing w:after="40"/>
            </w:pPr>
            <w:r>
              <w:rPr>
                <w:b w:val="0"/>
                <w:i w:val="0"/>
                <w:sz w:val="20"/>
              </w:rPr>
              <w:t xml:space="preserve">Replace every </w:t>
            </w:r>
            <w:r>
              <w:rPr>
                <w:b/>
                <w:i w:val="0"/>
                <w:color w:val="1565C0"/>
                <w:sz w:val="20"/>
              </w:rPr>
              <w:t>[bracketed placeholder]</w:t>
            </w:r>
            <w:r>
              <w:rPr>
                <w:b w:val="0"/>
                <w:i w:val="0"/>
                <w:sz w:val="20"/>
              </w:rPr>
              <w:t xml:space="preserve"> with your organization's details.</w:t>
            </w:r>
          </w:p>
          <w:p>
            <w:pPr>
              <w:pStyle w:val="ListBullet"/>
              <w:spacing w:after="40"/>
            </w:pPr>
            <w:r>
              <w:rPr>
                <w:b w:val="0"/>
                <w:i w:val="0"/>
                <w:sz w:val="20"/>
              </w:rPr>
              <w:t>Section 7 (data rules) and Section 10 (risk tiers) carry the most weight. Tailor them to your data and industry first.</w:t>
            </w:r>
          </w:p>
          <w:p>
            <w:pPr>
              <w:pStyle w:val="ListBullet"/>
              <w:spacing w:after="40"/>
            </w:pPr>
            <w:r>
              <w:rPr>
                <w:b w:val="0"/>
                <w:i w:val="0"/>
                <w:sz w:val="20"/>
              </w:rPr>
              <w:t>Remove sections that don't apply, but keep human oversight (Section 11) and incident reporting (Section 17).</w:t>
            </w:r>
          </w:p>
          <w:p>
            <w:pPr>
              <w:pStyle w:val="ListBullet"/>
              <w:spacing w:after="40"/>
            </w:pPr>
            <w:r>
              <w:rPr>
                <w:b w:val="0"/>
                <w:i w:val="0"/>
                <w:sz w:val="20"/>
              </w:rPr>
              <w:t>Have your legal counsel review the final version, especially if you operate in healthcare, finance, education, employment, or government contracting.</w:t>
            </w:r>
          </w:p>
          <w:p>
            <w:pPr>
              <w:pStyle w:val="ListBullet"/>
              <w:spacing w:after="40"/>
            </w:pPr>
            <w:r>
              <w:rPr>
                <w:b w:val="0"/>
                <w:i w:val="0"/>
                <w:sz w:val="20"/>
              </w:rPr>
              <w:t>Pair the policy with short role-based training and an employee acknowledgment (Appendix C).</w:t>
            </w:r>
          </w:p>
        </w:tc>
      </w:tr>
    </w:tbl>
    <w:p>
      <w:pPr>
        <w:spacing w:after="40"/>
      </w:pPr>
    </w:p>
    <w:p>
      <w:r>
        <w:rPr>
          <w:b w:val="0"/>
          <w:i/>
          <w:color w:val="6B7280"/>
          <w:sz w:val="18"/>
        </w:rPr>
        <w:t>Structured around the NIST AI Risk Management Framework (Govern, Map, Measure, Manage) and compatible with ISO/IEC 42001. This template is provided for general informational purposes and is not legal advice.</w:t>
      </w:r>
    </w:p>
    <w:p>
      <w:r>
        <w:rPr>
          <w:b w:val="0"/>
          <w:i/>
          <w:color w:val="6B7280"/>
          <w:sz w:val="18"/>
        </w:rPr>
        <w:t>Template prepared by Vorentoe LLC · govorentoe.com/ai-governance</w:t>
      </w:r>
    </w:p>
    <w:p>
      <w:r>
        <w:br w:type="page"/>
      </w:r>
    </w:p>
    <w:p>
      <w:pPr>
        <w:pStyle w:val="Heading1"/>
      </w:pPr>
      <w:r>
        <w:t>1. Purpose</w:t>
      </w:r>
    </w:p>
    <w:p>
      <w:r>
        <w:rPr>
          <w:b/>
          <w:i w:val="0"/>
          <w:color w:val="1565C0"/>
        </w:rPr>
        <w:t>[Company Name]</w:t>
      </w:r>
      <w:r>
        <w:rPr>
          <w:b w:val="0"/>
          <w:i w:val="0"/>
        </w:rPr>
        <w:t xml:space="preserve"> encourages the responsible use of artificial intelligence to improve how we serve customers, make decisions, and get work done. This policy sets clear rules so that AI is used safely, legally, and in a way that protects our customers, our people, our data, and our reputation. It explains which AI tools are allowed, what information may be used with them, which uses require approval, and who is accountable.</w:t>
      </w:r>
    </w:p>
    <w:p>
      <w:pPr>
        <w:pStyle w:val="Heading1"/>
      </w:pPr>
      <w:r>
        <w:t>2. Scope</w:t>
      </w:r>
    </w:p>
    <w:p>
      <w:r>
        <w:rPr>
          <w:b w:val="0"/>
          <w:i w:val="0"/>
        </w:rPr>
        <w:t>This policy applies to:</w:t>
      </w:r>
    </w:p>
    <w:p>
      <w:pPr>
        <w:pStyle w:val="ListBullet"/>
        <w:spacing w:after="60"/>
      </w:pPr>
      <w:r>
        <w:rPr>
          <w:b w:val="0"/>
          <w:i w:val="0"/>
        </w:rPr>
        <w:t xml:space="preserve">All employees, contractors, interns, temporary staff, and third parties acting on behalf of </w:t>
      </w:r>
      <w:r>
        <w:rPr>
          <w:b/>
          <w:i w:val="0"/>
          <w:color w:val="1565C0"/>
        </w:rPr>
        <w:t>[Company Name]</w:t>
      </w:r>
      <w:r>
        <w:rPr>
          <w:b w:val="0"/>
          <w:i w:val="0"/>
        </w:rPr>
        <w:t xml:space="preserve"> ("workforce members").</w:t>
      </w:r>
    </w:p>
    <w:p>
      <w:pPr>
        <w:pStyle w:val="ListBullet"/>
        <w:spacing w:after="60"/>
      </w:pPr>
      <w:r>
        <w:rPr>
          <w:b w:val="0"/>
          <w:i w:val="0"/>
        </w:rPr>
        <w:t>Any AI system used for company work, whether company-provided, free, personally licensed, or built into other software (for example, AI features in email, CRM, office, design, or accounting tools).</w:t>
      </w:r>
    </w:p>
    <w:p>
      <w:pPr>
        <w:pStyle w:val="ListBullet"/>
        <w:spacing w:after="60"/>
      </w:pPr>
      <w:r>
        <w:rPr>
          <w:b w:val="0"/>
          <w:i w:val="0"/>
        </w:rPr>
        <w:t>AI systems we build, configure, or deploy, including chatbots, AI agents, and automated workflows.</w:t>
      </w:r>
    </w:p>
    <w:p>
      <w:pPr>
        <w:pStyle w:val="ListBullet"/>
        <w:spacing w:after="60"/>
      </w:pPr>
      <w:r>
        <w:rPr>
          <w:b w:val="0"/>
          <w:i w:val="0"/>
        </w:rPr>
        <w:t>Company work performed on any device, including personal devices.</w:t>
      </w:r>
    </w:p>
    <w:p>
      <w:pPr>
        <w:pStyle w:val="Heading1"/>
      </w:pPr>
      <w:r>
        <w:t>3. Definitions</w:t>
      </w:r>
    </w:p>
    <w:tbl>
      <w:tblPr>
        <w:tblStyle w:val="TableGrid"/>
        <w:tblW w:type="auto" w:w="0"/>
        <w:jc w:val="center"/>
        <w:tblLayout w:type="fixed"/>
        <w:tblLook w:firstColumn="1" w:firstRow="1" w:lastColumn="0" w:lastRow="0" w:noHBand="0" w:noVBand="1" w:val="04A0"/>
      </w:tblPr>
      <w:tblGrid>
        <w:gridCol w:w="2448"/>
        <w:gridCol w:w="6912"/>
      </w:tblGrid>
      <w:tr>
        <w:trPr>
          <w:tblHeader/>
          <w:cantSplit/>
        </w:trPr>
        <w:tc>
          <w:tcPr>
            <w:tcW w:type="dxa" w:w="2448"/>
            <w:shd w:val="clear" w:color="auto" w:fill="1565C0"/>
          </w:tcPr>
          <w:p>
            <w:r/>
            <w:r>
              <w:rPr>
                <w:b/>
                <w:color w:val="FFFFFF"/>
                <w:sz w:val="20"/>
              </w:rPr>
              <w:t>Term</w:t>
            </w:r>
          </w:p>
        </w:tc>
        <w:tc>
          <w:tcPr>
            <w:tcW w:type="dxa" w:w="6912"/>
            <w:shd w:val="clear" w:color="auto" w:fill="1565C0"/>
          </w:tcPr>
          <w:p>
            <w:r/>
            <w:r>
              <w:rPr>
                <w:b/>
                <w:color w:val="FFFFFF"/>
                <w:sz w:val="20"/>
              </w:rPr>
              <w:t>Meaning</w:t>
            </w:r>
          </w:p>
        </w:tc>
      </w:tr>
      <w:tr>
        <w:trPr>
          <w:cantSplit/>
        </w:trPr>
        <w:tc>
          <w:tcPr>
            <w:tcW w:type="dxa" w:w="2448"/>
          </w:tcPr>
          <w:p>
            <w:pPr>
              <w:spacing w:after="0"/>
            </w:pPr>
            <w:r/>
            <w:r>
              <w:rPr>
                <w:b w:val="0"/>
                <w:i w:val="0"/>
                <w:sz w:val="20"/>
              </w:rPr>
              <w:t>AI system</w:t>
            </w:r>
          </w:p>
        </w:tc>
        <w:tc>
          <w:tcPr>
            <w:tcW w:type="dxa" w:w="6912"/>
          </w:tcPr>
          <w:p>
            <w:pPr>
              <w:spacing w:after="0"/>
            </w:pPr>
            <w:r/>
            <w:r>
              <w:rPr>
                <w:b w:val="0"/>
                <w:i w:val="0"/>
                <w:sz w:val="20"/>
              </w:rPr>
              <w:t>Software that generates content, predictions, recommendations, or decisions from data, including machine learning models and large language models.</w:t>
            </w:r>
          </w:p>
        </w:tc>
      </w:tr>
      <w:tr>
        <w:trPr>
          <w:cantSplit/>
        </w:trPr>
        <w:tc>
          <w:tcPr>
            <w:tcW w:type="dxa" w:w="2448"/>
            <w:shd w:val="clear" w:color="auto" w:fill="EEF5FD"/>
          </w:tcPr>
          <w:p>
            <w:pPr>
              <w:spacing w:after="0"/>
            </w:pPr>
            <w:r/>
            <w:r>
              <w:rPr>
                <w:b w:val="0"/>
                <w:i w:val="0"/>
                <w:sz w:val="20"/>
              </w:rPr>
              <w:t>Generative AI</w:t>
            </w:r>
          </w:p>
        </w:tc>
        <w:tc>
          <w:tcPr>
            <w:tcW w:type="dxa" w:w="6912"/>
            <w:shd w:val="clear" w:color="auto" w:fill="EEF5FD"/>
          </w:tcPr>
          <w:p>
            <w:pPr>
              <w:spacing w:after="0"/>
            </w:pPr>
            <w:r/>
            <w:r>
              <w:rPr>
                <w:b w:val="0"/>
                <w:i w:val="0"/>
                <w:sz w:val="20"/>
              </w:rPr>
              <w:t>AI that creates text, images, code, audio, or video in response to prompts (for example, chat assistants and image generators).</w:t>
            </w:r>
          </w:p>
        </w:tc>
      </w:tr>
      <w:tr>
        <w:trPr>
          <w:cantSplit/>
        </w:trPr>
        <w:tc>
          <w:tcPr>
            <w:tcW w:type="dxa" w:w="2448"/>
          </w:tcPr>
          <w:p>
            <w:pPr>
              <w:spacing w:after="0"/>
            </w:pPr>
            <w:r/>
            <w:r>
              <w:rPr>
                <w:b w:val="0"/>
                <w:i w:val="0"/>
                <w:sz w:val="20"/>
              </w:rPr>
              <w:t>AI agent</w:t>
            </w:r>
          </w:p>
        </w:tc>
        <w:tc>
          <w:tcPr>
            <w:tcW w:type="dxa" w:w="6912"/>
          </w:tcPr>
          <w:p>
            <w:pPr>
              <w:spacing w:after="0"/>
            </w:pPr>
            <w:r/>
            <w:r>
              <w:rPr>
                <w:b w:val="0"/>
                <w:i w:val="0"/>
                <w:sz w:val="20"/>
              </w:rPr>
              <w:t>An AI system that can take actions on its own, such as sending messages, updating records, calling other software, or spending money.</w:t>
            </w:r>
          </w:p>
        </w:tc>
      </w:tr>
      <w:tr>
        <w:trPr>
          <w:cantSplit/>
        </w:trPr>
        <w:tc>
          <w:tcPr>
            <w:tcW w:type="dxa" w:w="2448"/>
            <w:shd w:val="clear" w:color="auto" w:fill="EEF5FD"/>
          </w:tcPr>
          <w:p>
            <w:pPr>
              <w:spacing w:after="0"/>
            </w:pPr>
            <w:r/>
            <w:r>
              <w:rPr>
                <w:b w:val="0"/>
                <w:i w:val="0"/>
                <w:sz w:val="20"/>
              </w:rPr>
              <w:t>Approved AI tool</w:t>
            </w:r>
          </w:p>
        </w:tc>
        <w:tc>
          <w:tcPr>
            <w:tcW w:type="dxa" w:w="6912"/>
            <w:shd w:val="clear" w:color="auto" w:fill="EEF5FD"/>
          </w:tcPr>
          <w:p>
            <w:pPr>
              <w:spacing w:after="0"/>
            </w:pPr>
            <w:r/>
            <w:r>
              <w:rPr>
                <w:b w:val="0"/>
                <w:i w:val="0"/>
                <w:sz w:val="20"/>
              </w:rPr>
              <w:t>An AI tool listed as Approved or Conditionally Approved in the AI Tool Register (Appendix B).</w:t>
            </w:r>
          </w:p>
        </w:tc>
      </w:tr>
      <w:tr>
        <w:trPr>
          <w:cantSplit/>
        </w:trPr>
        <w:tc>
          <w:tcPr>
            <w:tcW w:type="dxa" w:w="2448"/>
          </w:tcPr>
          <w:p>
            <w:pPr>
              <w:spacing w:after="0"/>
            </w:pPr>
            <w:r/>
            <w:r>
              <w:rPr>
                <w:b w:val="0"/>
                <w:i w:val="0"/>
                <w:sz w:val="20"/>
              </w:rPr>
              <w:t>Human-in-the-loop</w:t>
            </w:r>
          </w:p>
        </w:tc>
        <w:tc>
          <w:tcPr>
            <w:tcW w:type="dxa" w:w="6912"/>
          </w:tcPr>
          <w:p>
            <w:pPr>
              <w:spacing w:after="0"/>
            </w:pPr>
            <w:r/>
            <w:r>
              <w:rPr>
                <w:b w:val="0"/>
                <w:i w:val="0"/>
                <w:sz w:val="20"/>
              </w:rPr>
              <w:t>A required step in which a qualified person reviews and approves AI output or an AI action before it takes effect.</w:t>
            </w:r>
          </w:p>
        </w:tc>
      </w:tr>
      <w:tr>
        <w:trPr>
          <w:cantSplit/>
        </w:trPr>
        <w:tc>
          <w:tcPr>
            <w:tcW w:type="dxa" w:w="2448"/>
            <w:shd w:val="clear" w:color="auto" w:fill="EEF5FD"/>
          </w:tcPr>
          <w:p>
            <w:pPr>
              <w:spacing w:after="0"/>
            </w:pPr>
            <w:r/>
            <w:r>
              <w:rPr>
                <w:b w:val="0"/>
                <w:i w:val="0"/>
                <w:sz w:val="20"/>
              </w:rPr>
              <w:t>Confidential information</w:t>
            </w:r>
          </w:p>
        </w:tc>
        <w:tc>
          <w:tcPr>
            <w:tcW w:type="dxa" w:w="6912"/>
            <w:shd w:val="clear" w:color="auto" w:fill="EEF5FD"/>
          </w:tcPr>
          <w:p>
            <w:pPr>
              <w:spacing w:after="0"/>
            </w:pPr>
            <w:r/>
            <w:r>
              <w:rPr>
                <w:b w:val="0"/>
                <w:i w:val="0"/>
                <w:sz w:val="20"/>
              </w:rPr>
              <w:t>Non-public business information, including financials, pricing, strategy, contracts, source code, and customer or vendor information.</w:t>
            </w:r>
          </w:p>
        </w:tc>
      </w:tr>
      <w:tr>
        <w:trPr>
          <w:cantSplit/>
        </w:trPr>
        <w:tc>
          <w:tcPr>
            <w:tcW w:type="dxa" w:w="2448"/>
          </w:tcPr>
          <w:p>
            <w:pPr>
              <w:spacing w:after="0"/>
            </w:pPr>
            <w:r/>
            <w:r>
              <w:rPr>
                <w:b w:val="0"/>
                <w:i w:val="0"/>
                <w:sz w:val="20"/>
              </w:rPr>
              <w:t>Personal data</w:t>
            </w:r>
          </w:p>
        </w:tc>
        <w:tc>
          <w:tcPr>
            <w:tcW w:type="dxa" w:w="6912"/>
          </w:tcPr>
          <w:p>
            <w:pPr>
              <w:spacing w:after="0"/>
            </w:pPr>
            <w:r/>
            <w:r>
              <w:rPr>
                <w:b w:val="0"/>
                <w:i w:val="0"/>
                <w:sz w:val="20"/>
              </w:rPr>
              <w:t>Any information that identifies or relates to an individual, including customer, employee, and applicant data.</w:t>
            </w:r>
          </w:p>
        </w:tc>
      </w:tr>
      <w:tr>
        <w:trPr>
          <w:cantSplit/>
        </w:trPr>
        <w:tc>
          <w:tcPr>
            <w:tcW w:type="dxa" w:w="2448"/>
            <w:shd w:val="clear" w:color="auto" w:fill="EEF5FD"/>
          </w:tcPr>
          <w:p>
            <w:pPr>
              <w:spacing w:after="0"/>
            </w:pPr>
            <w:r/>
            <w:r>
              <w:rPr>
                <w:b w:val="0"/>
                <w:i w:val="0"/>
                <w:sz w:val="20"/>
              </w:rPr>
              <w:t>Restricted data</w:t>
            </w:r>
          </w:p>
        </w:tc>
        <w:tc>
          <w:tcPr>
            <w:tcW w:type="dxa" w:w="6912"/>
            <w:shd w:val="clear" w:color="auto" w:fill="EEF5FD"/>
          </w:tcPr>
          <w:p>
            <w:pPr>
              <w:spacing w:after="0"/>
            </w:pPr>
            <w:r/>
            <w:r>
              <w:rPr>
                <w:b w:val="0"/>
                <w:i w:val="0"/>
                <w:sz w:val="20"/>
              </w:rPr>
              <w:t xml:space="preserve">The most sensitive data: </w:t>
            </w:r>
            <w:r>
              <w:rPr>
                <w:b/>
                <w:i w:val="0"/>
                <w:color w:val="1565C0"/>
                <w:sz w:val="20"/>
              </w:rPr>
              <w:t>[e.g., health information (PHI), payment card data, Social Security numbers, credentials, government-controlled information]</w:t>
            </w:r>
            <w:r>
              <w:rPr>
                <w:b w:val="0"/>
                <w:i w:val="0"/>
                <w:sz w:val="20"/>
              </w:rPr>
              <w:t>.</w:t>
            </w:r>
          </w:p>
        </w:tc>
      </w:tr>
      <w:tr>
        <w:trPr>
          <w:cantSplit/>
        </w:trPr>
        <w:tc>
          <w:tcPr>
            <w:tcW w:type="dxa" w:w="2448"/>
          </w:tcPr>
          <w:p>
            <w:pPr>
              <w:spacing w:after="0"/>
            </w:pPr>
            <w:r/>
            <w:r>
              <w:rPr>
                <w:b w:val="0"/>
                <w:i w:val="0"/>
                <w:sz w:val="20"/>
              </w:rPr>
              <w:t>AI Governance Lead</w:t>
            </w:r>
          </w:p>
        </w:tc>
        <w:tc>
          <w:tcPr>
            <w:tcW w:type="dxa" w:w="6912"/>
          </w:tcPr>
          <w:p>
            <w:pPr>
              <w:spacing w:after="0"/>
            </w:pPr>
            <w:r/>
            <w:r>
              <w:rPr>
                <w:b w:val="0"/>
                <w:i w:val="0"/>
                <w:sz w:val="20"/>
              </w:rPr>
              <w:t xml:space="preserve">The person accountable for this policy and the AI program: </w:t>
            </w:r>
            <w:r>
              <w:rPr>
                <w:b/>
                <w:i w:val="0"/>
                <w:color w:val="1565C0"/>
                <w:sz w:val="20"/>
              </w:rPr>
              <w:t>[Name / Role]</w:t>
            </w:r>
            <w:r>
              <w:rPr>
                <w:b w:val="0"/>
                <w:i w:val="0"/>
                <w:sz w:val="20"/>
              </w:rPr>
              <w:t>.</w:t>
            </w:r>
          </w:p>
        </w:tc>
      </w:tr>
    </w:tbl>
    <w:p>
      <w:pPr>
        <w:spacing w:after="40"/>
      </w:pPr>
    </w:p>
    <w:p>
      <w:pPr>
        <w:pStyle w:val="Heading1"/>
      </w:pPr>
      <w:r>
        <w:t>4. Guiding Principles</w:t>
      </w:r>
    </w:p>
    <w:p>
      <w:pPr>
        <w:pStyle w:val="ListBullet"/>
        <w:spacing w:after="60"/>
      </w:pPr>
      <w:r>
        <w:rPr>
          <w:b/>
        </w:rPr>
        <w:t xml:space="preserve">Accountability. </w:t>
      </w:r>
      <w:r>
        <w:rPr>
          <w:b w:val="0"/>
          <w:i w:val="0"/>
        </w:rPr>
        <w:t>A named person owns every AI system and every AI-assisted outcome. "The AI did it" is never an explanation.</w:t>
      </w:r>
    </w:p>
    <w:p>
      <w:pPr>
        <w:pStyle w:val="ListBullet"/>
        <w:spacing w:after="60"/>
      </w:pPr>
      <w:r>
        <w:rPr>
          <w:b/>
        </w:rPr>
        <w:t xml:space="preserve">Human oversight. </w:t>
      </w:r>
      <w:r>
        <w:rPr>
          <w:b w:val="0"/>
          <w:i w:val="0"/>
        </w:rPr>
        <w:t>People stay in control of decisions that affect customers, employees, money, or legal obligations.</w:t>
      </w:r>
    </w:p>
    <w:p>
      <w:pPr>
        <w:pStyle w:val="ListBullet"/>
        <w:spacing w:after="60"/>
      </w:pPr>
      <w:r>
        <w:rPr>
          <w:b/>
        </w:rPr>
        <w:t xml:space="preserve">Privacy and security. </w:t>
      </w:r>
      <w:r>
        <w:rPr>
          <w:b w:val="0"/>
          <w:i w:val="0"/>
        </w:rPr>
        <w:t>We protect data the same way with AI as without it. AI never gets more access than the task requires.</w:t>
      </w:r>
    </w:p>
    <w:p>
      <w:pPr>
        <w:pStyle w:val="ListBullet"/>
        <w:spacing w:after="60"/>
      </w:pPr>
      <w:r>
        <w:rPr>
          <w:b/>
        </w:rPr>
        <w:t xml:space="preserve">Accuracy. </w:t>
      </w:r>
      <w:r>
        <w:rPr>
          <w:b w:val="0"/>
          <w:i w:val="0"/>
        </w:rPr>
        <w:t>AI can be confidently wrong. We verify before we rely on it.</w:t>
      </w:r>
    </w:p>
    <w:p>
      <w:pPr>
        <w:pStyle w:val="ListBullet"/>
        <w:spacing w:after="60"/>
      </w:pPr>
      <w:r>
        <w:rPr>
          <w:b/>
        </w:rPr>
        <w:t xml:space="preserve">Fairness. </w:t>
      </w:r>
      <w:r>
        <w:rPr>
          <w:b w:val="0"/>
          <w:i w:val="0"/>
        </w:rPr>
        <w:t>We check that AI doesn't treat people unfairly based on protected characteristics.</w:t>
      </w:r>
    </w:p>
    <w:p>
      <w:pPr>
        <w:pStyle w:val="ListBullet"/>
        <w:spacing w:after="60"/>
      </w:pPr>
      <w:r>
        <w:rPr>
          <w:b/>
        </w:rPr>
        <w:t xml:space="preserve">Transparency. </w:t>
      </w:r>
      <w:r>
        <w:rPr>
          <w:b w:val="0"/>
          <w:i w:val="0"/>
        </w:rPr>
        <w:t>We are honest with customers and each other about when and how AI is used.</w:t>
      </w:r>
    </w:p>
    <w:p>
      <w:pPr>
        <w:pStyle w:val="Heading1"/>
      </w:pPr>
      <w:r>
        <w:t>5. Roles and Responsibilities</w:t>
      </w:r>
    </w:p>
    <w:tbl>
      <w:tblPr>
        <w:tblStyle w:val="TableGrid"/>
        <w:tblW w:type="auto" w:w="0"/>
        <w:jc w:val="center"/>
        <w:tblLayout w:type="fixed"/>
        <w:tblLook w:firstColumn="1" w:firstRow="1" w:lastColumn="0" w:lastRow="0" w:noHBand="0" w:noVBand="1" w:val="04A0"/>
      </w:tblPr>
      <w:tblGrid>
        <w:gridCol w:w="2736"/>
        <w:gridCol w:w="6624"/>
      </w:tblGrid>
      <w:tr>
        <w:trPr>
          <w:tblHeader/>
          <w:cantSplit/>
        </w:trPr>
        <w:tc>
          <w:tcPr>
            <w:tcW w:type="dxa" w:w="2736"/>
            <w:shd w:val="clear" w:color="auto" w:fill="1565C0"/>
          </w:tcPr>
          <w:p>
            <w:r/>
            <w:r>
              <w:rPr>
                <w:b/>
                <w:color w:val="FFFFFF"/>
                <w:sz w:val="20"/>
              </w:rPr>
              <w:t>Role</w:t>
            </w:r>
          </w:p>
        </w:tc>
        <w:tc>
          <w:tcPr>
            <w:tcW w:type="dxa" w:w="6624"/>
            <w:shd w:val="clear" w:color="auto" w:fill="1565C0"/>
          </w:tcPr>
          <w:p>
            <w:r/>
            <w:r>
              <w:rPr>
                <w:b/>
                <w:color w:val="FFFFFF"/>
                <w:sz w:val="20"/>
              </w:rPr>
              <w:t>Responsibilities</w:t>
            </w:r>
          </w:p>
        </w:tc>
      </w:tr>
      <w:tr>
        <w:trPr>
          <w:cantSplit/>
        </w:trPr>
        <w:tc>
          <w:tcPr>
            <w:tcW w:type="dxa" w:w="2736"/>
          </w:tcPr>
          <w:p>
            <w:pPr>
              <w:spacing w:after="0"/>
            </w:pPr>
            <w:r/>
            <w:r>
              <w:rPr>
                <w:b w:val="0"/>
                <w:i w:val="0"/>
                <w:sz w:val="20"/>
              </w:rPr>
              <w:t>Executive sponsor</w:t>
              <w:br/>
            </w:r>
            <w:r>
              <w:rPr>
                <w:b/>
                <w:i w:val="0"/>
                <w:color w:val="1565C0"/>
                <w:sz w:val="20"/>
              </w:rPr>
              <w:t>[Name/Title]</w:t>
            </w:r>
          </w:p>
        </w:tc>
        <w:tc>
          <w:tcPr>
            <w:tcW w:type="dxa" w:w="6624"/>
          </w:tcPr>
          <w:p>
            <w:pPr>
              <w:spacing w:after="0"/>
            </w:pPr>
            <w:r/>
            <w:r>
              <w:rPr>
                <w:b w:val="0"/>
                <w:i w:val="0"/>
                <w:sz w:val="20"/>
              </w:rPr>
              <w:t>Approves this policy, sets AI risk appetite, and resolves escalations.</w:t>
            </w:r>
          </w:p>
        </w:tc>
      </w:tr>
      <w:tr>
        <w:trPr>
          <w:cantSplit/>
        </w:trPr>
        <w:tc>
          <w:tcPr>
            <w:tcW w:type="dxa" w:w="2736"/>
            <w:shd w:val="clear" w:color="auto" w:fill="EEF5FD"/>
          </w:tcPr>
          <w:p>
            <w:pPr>
              <w:spacing w:after="0"/>
            </w:pPr>
            <w:r/>
            <w:r>
              <w:rPr>
                <w:b w:val="0"/>
                <w:i w:val="0"/>
                <w:sz w:val="20"/>
              </w:rPr>
              <w:t>AI Governance Lead</w:t>
              <w:br/>
            </w:r>
            <w:r>
              <w:rPr>
                <w:b/>
                <w:i w:val="0"/>
                <w:color w:val="1565C0"/>
                <w:sz w:val="20"/>
              </w:rPr>
              <w:t>[Name/Title]</w:t>
            </w:r>
          </w:p>
        </w:tc>
        <w:tc>
          <w:tcPr>
            <w:tcW w:type="dxa" w:w="6624"/>
            <w:shd w:val="clear" w:color="auto" w:fill="EEF5FD"/>
          </w:tcPr>
          <w:p>
            <w:pPr>
              <w:spacing w:after="0"/>
            </w:pPr>
            <w:r/>
            <w:r>
              <w:rPr>
                <w:b w:val="0"/>
                <w:i w:val="0"/>
                <w:sz w:val="20"/>
              </w:rPr>
              <w:t xml:space="preserve">Maintains this policy and the AI Tool Register, runs use-case reviews, tracks regulations, reports to leadership </w:t>
            </w:r>
            <w:r>
              <w:rPr>
                <w:b/>
                <w:i w:val="0"/>
                <w:color w:val="1565C0"/>
                <w:sz w:val="20"/>
              </w:rPr>
              <w:t>[quarterly]</w:t>
            </w:r>
            <w:r>
              <w:rPr>
                <w:b w:val="0"/>
                <w:i w:val="0"/>
                <w:sz w:val="20"/>
              </w:rPr>
              <w:t>.</w:t>
            </w:r>
          </w:p>
        </w:tc>
      </w:tr>
      <w:tr>
        <w:trPr>
          <w:cantSplit/>
        </w:trPr>
        <w:tc>
          <w:tcPr>
            <w:tcW w:type="dxa" w:w="2736"/>
          </w:tcPr>
          <w:p>
            <w:pPr>
              <w:spacing w:after="0"/>
            </w:pPr>
            <w:r/>
            <w:r>
              <w:rPr>
                <w:b w:val="0"/>
                <w:i w:val="0"/>
                <w:sz w:val="20"/>
              </w:rPr>
              <w:t>AI Review Group</w:t>
              <w:br/>
            </w:r>
            <w:r>
              <w:rPr>
                <w:b/>
                <w:i w:val="0"/>
                <w:color w:val="1565C0"/>
                <w:sz w:val="20"/>
              </w:rPr>
              <w:t>[Members]</w:t>
            </w:r>
          </w:p>
        </w:tc>
        <w:tc>
          <w:tcPr>
            <w:tcW w:type="dxa" w:w="6624"/>
          </w:tcPr>
          <w:p>
            <w:pPr>
              <w:spacing w:after="0"/>
            </w:pPr>
            <w:r/>
            <w:r>
              <w:rPr>
                <w:b w:val="0"/>
                <w:i w:val="0"/>
                <w:sz w:val="20"/>
              </w:rPr>
              <w:t xml:space="preserve">Reviews Tier 2 and Tier 3 use cases, approves new tools, and reviews incidents. Meets </w:t>
            </w:r>
            <w:r>
              <w:rPr>
                <w:b/>
                <w:i w:val="0"/>
                <w:color w:val="1565C0"/>
                <w:sz w:val="20"/>
              </w:rPr>
              <w:t>[monthly]</w:t>
            </w:r>
            <w:r>
              <w:rPr>
                <w:b w:val="0"/>
                <w:i w:val="0"/>
                <w:sz w:val="20"/>
              </w:rPr>
              <w:t xml:space="preserve"> and as needed. </w:t>
            </w:r>
            <w:r>
              <w:rPr>
                <w:b/>
                <w:i w:val="0"/>
                <w:color w:val="1565C0"/>
                <w:sz w:val="20"/>
              </w:rPr>
              <w:t>[Smaller organizations may combine this with the AI Governance Lead.]</w:t>
            </w:r>
          </w:p>
        </w:tc>
      </w:tr>
      <w:tr>
        <w:trPr>
          <w:cantSplit/>
        </w:trPr>
        <w:tc>
          <w:tcPr>
            <w:tcW w:type="dxa" w:w="2736"/>
            <w:shd w:val="clear" w:color="auto" w:fill="EEF5FD"/>
          </w:tcPr>
          <w:p>
            <w:pPr>
              <w:spacing w:after="0"/>
            </w:pPr>
            <w:r/>
            <w:r>
              <w:rPr>
                <w:b w:val="0"/>
                <w:i w:val="0"/>
                <w:sz w:val="20"/>
              </w:rPr>
              <w:t>System owner</w:t>
            </w:r>
          </w:p>
        </w:tc>
        <w:tc>
          <w:tcPr>
            <w:tcW w:type="dxa" w:w="6624"/>
            <w:shd w:val="clear" w:color="auto" w:fill="EEF5FD"/>
          </w:tcPr>
          <w:p>
            <w:pPr>
              <w:spacing w:after="0"/>
            </w:pPr>
            <w:r/>
            <w:r>
              <w:rPr>
                <w:b w:val="0"/>
                <w:i w:val="0"/>
                <w:sz w:val="20"/>
              </w:rPr>
              <w:t>Accountable for a specific AI system: its configuration, access, monitoring, documentation, and performance.</w:t>
            </w:r>
          </w:p>
        </w:tc>
      </w:tr>
      <w:tr>
        <w:trPr>
          <w:cantSplit/>
        </w:trPr>
        <w:tc>
          <w:tcPr>
            <w:tcW w:type="dxa" w:w="2736"/>
          </w:tcPr>
          <w:p>
            <w:pPr>
              <w:spacing w:after="0"/>
            </w:pPr>
            <w:r/>
            <w:r>
              <w:rPr>
                <w:b w:val="0"/>
                <w:i w:val="0"/>
                <w:sz w:val="20"/>
              </w:rPr>
              <w:t>IT / Security</w:t>
              <w:br/>
            </w:r>
            <w:r>
              <w:rPr>
                <w:b/>
                <w:i w:val="0"/>
                <w:color w:val="1565C0"/>
                <w:sz w:val="20"/>
              </w:rPr>
              <w:t>[Name/Team]</w:t>
            </w:r>
          </w:p>
        </w:tc>
        <w:tc>
          <w:tcPr>
            <w:tcW w:type="dxa" w:w="6624"/>
          </w:tcPr>
          <w:p>
            <w:pPr>
              <w:spacing w:after="0"/>
            </w:pPr>
            <w:r/>
            <w:r>
              <w:rPr>
                <w:b w:val="0"/>
                <w:i w:val="0"/>
                <w:sz w:val="20"/>
              </w:rPr>
              <w:t>Vets vendors, manages accounts and access, configures logging, and blocks prohibited tools where possible.</w:t>
            </w:r>
          </w:p>
        </w:tc>
      </w:tr>
      <w:tr>
        <w:trPr>
          <w:cantSplit/>
        </w:trPr>
        <w:tc>
          <w:tcPr>
            <w:tcW w:type="dxa" w:w="2736"/>
            <w:shd w:val="clear" w:color="auto" w:fill="EEF5FD"/>
          </w:tcPr>
          <w:p>
            <w:pPr>
              <w:spacing w:after="0"/>
            </w:pPr>
            <w:r/>
            <w:r>
              <w:rPr>
                <w:b w:val="0"/>
                <w:i w:val="0"/>
                <w:sz w:val="20"/>
              </w:rPr>
              <w:t>Managers</w:t>
            </w:r>
          </w:p>
        </w:tc>
        <w:tc>
          <w:tcPr>
            <w:tcW w:type="dxa" w:w="6624"/>
            <w:shd w:val="clear" w:color="auto" w:fill="EEF5FD"/>
          </w:tcPr>
          <w:p>
            <w:pPr>
              <w:spacing w:after="0"/>
            </w:pPr>
            <w:r/>
            <w:r>
              <w:rPr>
                <w:b w:val="0"/>
                <w:i w:val="0"/>
                <w:sz w:val="20"/>
              </w:rPr>
              <w:t>Make sure their teams understand this policy and use AI only for approved purposes.</w:t>
            </w:r>
          </w:p>
        </w:tc>
      </w:tr>
      <w:tr>
        <w:trPr>
          <w:cantSplit/>
        </w:trPr>
        <w:tc>
          <w:tcPr>
            <w:tcW w:type="dxa" w:w="2736"/>
          </w:tcPr>
          <w:p>
            <w:pPr>
              <w:spacing w:after="0"/>
            </w:pPr>
            <w:r/>
            <w:r>
              <w:rPr>
                <w:b w:val="0"/>
                <w:i w:val="0"/>
                <w:sz w:val="20"/>
              </w:rPr>
              <w:t>All workforce members</w:t>
            </w:r>
          </w:p>
        </w:tc>
        <w:tc>
          <w:tcPr>
            <w:tcW w:type="dxa" w:w="6624"/>
          </w:tcPr>
          <w:p>
            <w:pPr>
              <w:spacing w:after="0"/>
            </w:pPr>
            <w:r/>
            <w:r>
              <w:rPr>
                <w:b w:val="0"/>
                <w:i w:val="0"/>
                <w:sz w:val="20"/>
              </w:rPr>
              <w:t>Follow this policy, complete training, verify AI output, and report concerns or incidents promptly.</w:t>
            </w:r>
          </w:p>
        </w:tc>
      </w:tr>
    </w:tbl>
    <w:p>
      <w:pPr>
        <w:spacing w:after="40"/>
      </w:pPr>
    </w:p>
    <w:p>
      <w:pPr>
        <w:pStyle w:val="Heading1"/>
      </w:pPr>
      <w:r>
        <w:t>6. Approved AI Tools and the AI Tool Register</w:t>
      </w:r>
    </w:p>
    <w:p>
      <w:r>
        <w:rPr>
          <w:b w:val="0"/>
          <w:i w:val="0"/>
        </w:rPr>
        <w:t xml:space="preserve">Only AI tools listed in the AI Tool Register (Appendix B) may be used for company work. The register is maintained by the AI Governance Lead and available at </w:t>
      </w:r>
      <w:r>
        <w:rPr>
          <w:b/>
          <w:i w:val="0"/>
          <w:color w:val="1565C0"/>
        </w:rPr>
        <w:t>[location/link]</w:t>
      </w:r>
      <w:r>
        <w:rPr>
          <w:b w:val="0"/>
          <w:i w:val="0"/>
        </w:rPr>
        <w:t>.</w:t>
      </w:r>
    </w:p>
    <w:tbl>
      <w:tblPr>
        <w:tblStyle w:val="TableGrid"/>
        <w:tblW w:type="auto" w:w="0"/>
        <w:jc w:val="center"/>
        <w:tblLayout w:type="fixed"/>
        <w:tblLook w:firstColumn="1" w:firstRow="1" w:lastColumn="0" w:lastRow="0" w:noHBand="0" w:noVBand="1" w:val="04A0"/>
      </w:tblPr>
      <w:tblGrid>
        <w:gridCol w:w="2016"/>
        <w:gridCol w:w="4608"/>
        <w:gridCol w:w="2736"/>
      </w:tblGrid>
      <w:tr>
        <w:trPr>
          <w:tblHeader/>
          <w:cantSplit/>
        </w:trPr>
        <w:tc>
          <w:tcPr>
            <w:tcW w:type="dxa" w:w="2016"/>
            <w:shd w:val="clear" w:color="auto" w:fill="1565C0"/>
          </w:tcPr>
          <w:p>
            <w:r/>
            <w:r>
              <w:rPr>
                <w:b/>
                <w:color w:val="FFFFFF"/>
                <w:sz w:val="20"/>
              </w:rPr>
              <w:t>Status</w:t>
            </w:r>
          </w:p>
        </w:tc>
        <w:tc>
          <w:tcPr>
            <w:tcW w:type="dxa" w:w="4608"/>
            <w:shd w:val="clear" w:color="auto" w:fill="1565C0"/>
          </w:tcPr>
          <w:p>
            <w:r/>
            <w:r>
              <w:rPr>
                <w:b/>
                <w:color w:val="FFFFFF"/>
                <w:sz w:val="20"/>
              </w:rPr>
              <w:t>Meaning</w:t>
            </w:r>
          </w:p>
        </w:tc>
        <w:tc>
          <w:tcPr>
            <w:tcW w:type="dxa" w:w="2736"/>
            <w:shd w:val="clear" w:color="auto" w:fill="1565C0"/>
          </w:tcPr>
          <w:p>
            <w:r/>
            <w:r>
              <w:rPr>
                <w:b/>
                <w:color w:val="FFFFFF"/>
                <w:sz w:val="20"/>
              </w:rPr>
              <w:t>Examples</w:t>
            </w:r>
          </w:p>
        </w:tc>
      </w:tr>
      <w:tr>
        <w:trPr>
          <w:cantSplit/>
        </w:trPr>
        <w:tc>
          <w:tcPr>
            <w:tcW w:type="dxa" w:w="2016"/>
          </w:tcPr>
          <w:p>
            <w:pPr>
              <w:spacing w:after="0"/>
            </w:pPr>
            <w:r/>
            <w:r>
              <w:rPr>
                <w:b w:val="0"/>
                <w:i w:val="0"/>
                <w:sz w:val="20"/>
              </w:rPr>
              <w:t>Approved</w:t>
            </w:r>
          </w:p>
        </w:tc>
        <w:tc>
          <w:tcPr>
            <w:tcW w:type="dxa" w:w="4608"/>
          </w:tcPr>
          <w:p>
            <w:pPr>
              <w:spacing w:after="0"/>
            </w:pPr>
            <w:r/>
            <w:r>
              <w:rPr>
                <w:b w:val="0"/>
                <w:i w:val="0"/>
                <w:sz w:val="20"/>
              </w:rPr>
              <w:t>Company-licensed with business data protections (no training on our data, retention controls, admin oversight). May be used with data up to the level shown in Section 7.</w:t>
            </w:r>
          </w:p>
        </w:tc>
        <w:tc>
          <w:tcPr>
            <w:tcW w:type="dxa" w:w="2736"/>
          </w:tcPr>
          <w:p>
            <w:pPr>
              <w:spacing w:after="0"/>
            </w:pPr>
            <w:r/>
            <w:r>
              <w:rPr>
                <w:b/>
                <w:i w:val="0"/>
                <w:color w:val="1565C0"/>
                <w:sz w:val="20"/>
              </w:rPr>
              <w:t>[e.g., Company enterprise AI assistant; AI features in our licensed office suite]</w:t>
            </w:r>
          </w:p>
        </w:tc>
      </w:tr>
      <w:tr>
        <w:trPr>
          <w:cantSplit/>
        </w:trPr>
        <w:tc>
          <w:tcPr>
            <w:tcW w:type="dxa" w:w="2016"/>
            <w:shd w:val="clear" w:color="auto" w:fill="EEF5FD"/>
          </w:tcPr>
          <w:p>
            <w:pPr>
              <w:spacing w:after="0"/>
            </w:pPr>
            <w:r/>
            <w:r>
              <w:rPr>
                <w:b w:val="0"/>
                <w:i w:val="0"/>
                <w:sz w:val="20"/>
              </w:rPr>
              <w:t>Conditionally approved</w:t>
            </w:r>
          </w:p>
        </w:tc>
        <w:tc>
          <w:tcPr>
            <w:tcW w:type="dxa" w:w="4608"/>
            <w:shd w:val="clear" w:color="auto" w:fill="EEF5FD"/>
          </w:tcPr>
          <w:p>
            <w:pPr>
              <w:spacing w:after="0"/>
            </w:pPr>
            <w:r/>
            <w:r>
              <w:rPr>
                <w:b w:val="0"/>
                <w:i w:val="0"/>
                <w:sz w:val="20"/>
              </w:rPr>
              <w:t>Allowed for specific purposes, teams, or data types only. Conditions are listed in the register.</w:t>
            </w:r>
          </w:p>
        </w:tc>
        <w:tc>
          <w:tcPr>
            <w:tcW w:type="dxa" w:w="2736"/>
            <w:shd w:val="clear" w:color="auto" w:fill="EEF5FD"/>
          </w:tcPr>
          <w:p>
            <w:pPr>
              <w:spacing w:after="0"/>
            </w:pPr>
            <w:r/>
            <w:r>
              <w:rPr>
                <w:b/>
                <w:i w:val="0"/>
                <w:color w:val="1565C0"/>
                <w:sz w:val="20"/>
              </w:rPr>
              <w:t>[e.g., AI coding assistant for engineering only; image generator for marketing drafts]</w:t>
            </w:r>
          </w:p>
        </w:tc>
      </w:tr>
      <w:tr>
        <w:trPr>
          <w:cantSplit/>
        </w:trPr>
        <w:tc>
          <w:tcPr>
            <w:tcW w:type="dxa" w:w="2016"/>
          </w:tcPr>
          <w:p>
            <w:pPr>
              <w:spacing w:after="0"/>
            </w:pPr>
            <w:r/>
            <w:r>
              <w:rPr>
                <w:b w:val="0"/>
                <w:i w:val="0"/>
                <w:sz w:val="20"/>
              </w:rPr>
              <w:t>Not approved</w:t>
            </w:r>
          </w:p>
        </w:tc>
        <w:tc>
          <w:tcPr>
            <w:tcW w:type="dxa" w:w="4608"/>
          </w:tcPr>
          <w:p>
            <w:pPr>
              <w:spacing w:after="0"/>
            </w:pPr>
            <w:r/>
            <w:r>
              <w:rPr>
                <w:b w:val="0"/>
                <w:i w:val="0"/>
                <w:sz w:val="20"/>
              </w:rPr>
              <w:t>Free or personal accounts and any tool not in the register. Public data only, or not at all, as stated in Section 7.</w:t>
            </w:r>
          </w:p>
        </w:tc>
        <w:tc>
          <w:tcPr>
            <w:tcW w:type="dxa" w:w="2736"/>
          </w:tcPr>
          <w:p>
            <w:pPr>
              <w:spacing w:after="0"/>
            </w:pPr>
            <w:r/>
            <w:r>
              <w:rPr>
                <w:b/>
                <w:i w:val="0"/>
                <w:color w:val="1565C0"/>
                <w:sz w:val="20"/>
              </w:rPr>
              <w:t>[e.g., Personal chatbot accounts, browser extensions, meeting bots not on the list]</w:t>
            </w:r>
          </w:p>
        </w:tc>
      </w:tr>
      <w:tr>
        <w:trPr>
          <w:cantSplit/>
        </w:trPr>
        <w:tc>
          <w:tcPr>
            <w:tcW w:type="dxa" w:w="2016"/>
            <w:shd w:val="clear" w:color="auto" w:fill="EEF5FD"/>
          </w:tcPr>
          <w:p>
            <w:pPr>
              <w:spacing w:after="0"/>
            </w:pPr>
            <w:r/>
            <w:r>
              <w:rPr>
                <w:b w:val="0"/>
                <w:i w:val="0"/>
                <w:sz w:val="20"/>
              </w:rPr>
              <w:t>Prohibited</w:t>
            </w:r>
          </w:p>
        </w:tc>
        <w:tc>
          <w:tcPr>
            <w:tcW w:type="dxa" w:w="4608"/>
            <w:shd w:val="clear" w:color="auto" w:fill="EEF5FD"/>
          </w:tcPr>
          <w:p>
            <w:pPr>
              <w:spacing w:after="0"/>
            </w:pPr>
            <w:r/>
            <w:r>
              <w:rPr>
                <w:b w:val="0"/>
                <w:i w:val="0"/>
                <w:sz w:val="20"/>
              </w:rPr>
              <w:t>Must not be used for company work under any circumstances.</w:t>
            </w:r>
          </w:p>
        </w:tc>
        <w:tc>
          <w:tcPr>
            <w:tcW w:type="dxa" w:w="2736"/>
            <w:shd w:val="clear" w:color="auto" w:fill="EEF5FD"/>
          </w:tcPr>
          <w:p>
            <w:pPr>
              <w:spacing w:after="0"/>
            </w:pPr>
            <w:r/>
            <w:r>
              <w:rPr>
                <w:b/>
                <w:i w:val="0"/>
                <w:color w:val="1565C0"/>
                <w:sz w:val="20"/>
              </w:rPr>
              <w:t>[e.g., Tools with unacceptable data terms or ownership concerns]</w:t>
            </w:r>
          </w:p>
        </w:tc>
      </w:tr>
    </w:tbl>
    <w:p>
      <w:pPr>
        <w:spacing w:after="40"/>
      </w:pPr>
    </w:p>
    <w:p>
      <w:r>
        <w:rPr>
          <w:b w:val="0"/>
          <w:i w:val="0"/>
        </w:rPr>
        <w:t>To request a new tool, submit the AI Use-Case Intake Form (Appendix A). Do not sign up for AI tools with your company email or company payment methods until the tool is approved.</w:t>
      </w:r>
    </w:p>
    <w:p>
      <w:pPr>
        <w:pStyle w:val="Heading1"/>
      </w:pPr>
      <w:r>
        <w:t>7. Data Rules: What You May Put Into AI</w:t>
      </w:r>
    </w:p>
    <w:p>
      <w:r>
        <w:rPr>
          <w:b w:val="0"/>
          <w:i w:val="0"/>
        </w:rPr>
        <w:t>When in doubt, treat information as the more sensitive category and ask before you share it.</w:t>
      </w:r>
    </w:p>
    <w:tbl>
      <w:tblPr>
        <w:tblStyle w:val="TableGrid"/>
        <w:tblW w:type="auto" w:w="0"/>
        <w:jc w:val="center"/>
        <w:tblLayout w:type="fixed"/>
        <w:tblLook w:firstColumn="1" w:firstRow="1" w:lastColumn="0" w:lastRow="0" w:noHBand="0" w:noVBand="1" w:val="04A0"/>
      </w:tblPr>
      <w:tblGrid>
        <w:gridCol w:w="3024"/>
        <w:gridCol w:w="2304"/>
        <w:gridCol w:w="2016"/>
        <w:gridCol w:w="2016"/>
      </w:tblGrid>
      <w:tr>
        <w:trPr>
          <w:tblHeader/>
          <w:cantSplit/>
        </w:trPr>
        <w:tc>
          <w:tcPr>
            <w:tcW w:type="dxa" w:w="3024"/>
            <w:shd w:val="clear" w:color="auto" w:fill="1565C0"/>
          </w:tcPr>
          <w:p>
            <w:r/>
            <w:r>
              <w:rPr>
                <w:b/>
                <w:color w:val="FFFFFF"/>
                <w:sz w:val="20"/>
              </w:rPr>
              <w:t>Data classification</w:t>
            </w:r>
          </w:p>
        </w:tc>
        <w:tc>
          <w:tcPr>
            <w:tcW w:type="dxa" w:w="2304"/>
            <w:shd w:val="clear" w:color="auto" w:fill="1565C0"/>
          </w:tcPr>
          <w:p>
            <w:r/>
            <w:r>
              <w:rPr>
                <w:b/>
                <w:color w:val="FFFFFF"/>
                <w:sz w:val="20"/>
              </w:rPr>
              <w:t>Approved tools</w:t>
            </w:r>
          </w:p>
        </w:tc>
        <w:tc>
          <w:tcPr>
            <w:tcW w:type="dxa" w:w="2016"/>
            <w:shd w:val="clear" w:color="auto" w:fill="1565C0"/>
          </w:tcPr>
          <w:p>
            <w:r/>
            <w:r>
              <w:rPr>
                <w:b/>
                <w:color w:val="FFFFFF"/>
                <w:sz w:val="20"/>
              </w:rPr>
              <w:t>Conditionally approved</w:t>
            </w:r>
          </w:p>
        </w:tc>
        <w:tc>
          <w:tcPr>
            <w:tcW w:type="dxa" w:w="2016"/>
            <w:shd w:val="clear" w:color="auto" w:fill="1565C0"/>
          </w:tcPr>
          <w:p>
            <w:r/>
            <w:r>
              <w:rPr>
                <w:b/>
                <w:color w:val="FFFFFF"/>
                <w:sz w:val="20"/>
              </w:rPr>
              <w:t>Not approved / personal</w:t>
            </w:r>
          </w:p>
        </w:tc>
      </w:tr>
      <w:tr>
        <w:trPr>
          <w:cantSplit/>
        </w:trPr>
        <w:tc>
          <w:tcPr>
            <w:tcW w:type="dxa" w:w="3024"/>
          </w:tcPr>
          <w:p>
            <w:pPr>
              <w:spacing w:after="0"/>
            </w:pPr>
            <w:r/>
            <w:r>
              <w:rPr>
                <w:b w:val="0"/>
                <w:i w:val="0"/>
                <w:sz w:val="20"/>
              </w:rPr>
              <w:t>Public</w:t>
              <w:br/>
              <w:t>Published website content, press releases</w:t>
            </w:r>
          </w:p>
        </w:tc>
        <w:tc>
          <w:tcPr>
            <w:tcW w:type="dxa" w:w="2304"/>
          </w:tcPr>
          <w:p>
            <w:pPr>
              <w:spacing w:after="0"/>
            </w:pPr>
            <w:r/>
            <w:r>
              <w:rPr>
                <w:b w:val="0"/>
                <w:i w:val="0"/>
                <w:sz w:val="20"/>
              </w:rPr>
              <w:t>Allowed</w:t>
            </w:r>
          </w:p>
        </w:tc>
        <w:tc>
          <w:tcPr>
            <w:tcW w:type="dxa" w:w="2016"/>
          </w:tcPr>
          <w:p>
            <w:pPr>
              <w:spacing w:after="0"/>
            </w:pPr>
            <w:r/>
            <w:r>
              <w:rPr>
                <w:b w:val="0"/>
                <w:i w:val="0"/>
                <w:sz w:val="20"/>
              </w:rPr>
              <w:t>Allowed</w:t>
            </w:r>
          </w:p>
        </w:tc>
        <w:tc>
          <w:tcPr>
            <w:tcW w:type="dxa" w:w="2016"/>
          </w:tcPr>
          <w:p>
            <w:pPr>
              <w:spacing w:after="0"/>
            </w:pPr>
            <w:r/>
            <w:r>
              <w:rPr>
                <w:b w:val="0"/>
                <w:i w:val="0"/>
                <w:sz w:val="20"/>
              </w:rPr>
              <w:t>Allowed</w:t>
            </w:r>
          </w:p>
        </w:tc>
      </w:tr>
      <w:tr>
        <w:trPr>
          <w:cantSplit/>
        </w:trPr>
        <w:tc>
          <w:tcPr>
            <w:tcW w:type="dxa" w:w="3024"/>
            <w:shd w:val="clear" w:color="auto" w:fill="EEF5FD"/>
          </w:tcPr>
          <w:p>
            <w:pPr>
              <w:spacing w:after="0"/>
            </w:pPr>
            <w:r/>
            <w:r>
              <w:rPr>
                <w:b w:val="0"/>
                <w:i w:val="0"/>
                <w:sz w:val="20"/>
              </w:rPr>
              <w:t>Internal</w:t>
              <w:br/>
              <w:t>Policies, internal process docs, non-sensitive email</w:t>
            </w:r>
          </w:p>
        </w:tc>
        <w:tc>
          <w:tcPr>
            <w:tcW w:type="dxa" w:w="2304"/>
            <w:shd w:val="clear" w:color="auto" w:fill="EEF5FD"/>
          </w:tcPr>
          <w:p>
            <w:pPr>
              <w:spacing w:after="0"/>
            </w:pPr>
            <w:r/>
            <w:r>
              <w:rPr>
                <w:b w:val="0"/>
                <w:i w:val="0"/>
                <w:sz w:val="20"/>
              </w:rPr>
              <w:t>Allowed</w:t>
            </w:r>
          </w:p>
        </w:tc>
        <w:tc>
          <w:tcPr>
            <w:tcW w:type="dxa" w:w="2016"/>
            <w:shd w:val="clear" w:color="auto" w:fill="EEF5FD"/>
          </w:tcPr>
          <w:p>
            <w:pPr>
              <w:spacing w:after="0"/>
            </w:pPr>
            <w:r/>
            <w:r>
              <w:rPr>
                <w:b w:val="0"/>
                <w:i w:val="0"/>
                <w:sz w:val="20"/>
              </w:rPr>
              <w:t>If conditions allow</w:t>
            </w:r>
          </w:p>
        </w:tc>
        <w:tc>
          <w:tcPr>
            <w:tcW w:type="dxa" w:w="2016"/>
            <w:shd w:val="clear" w:color="auto" w:fill="EEF5FD"/>
          </w:tcPr>
          <w:p>
            <w:pPr>
              <w:spacing w:after="0"/>
            </w:pPr>
            <w:r/>
            <w:r>
              <w:rPr>
                <w:b w:val="0"/>
                <w:i w:val="0"/>
                <w:sz w:val="20"/>
              </w:rPr>
              <w:t>Not allowed</w:t>
            </w:r>
          </w:p>
        </w:tc>
      </w:tr>
      <w:tr>
        <w:trPr>
          <w:cantSplit/>
        </w:trPr>
        <w:tc>
          <w:tcPr>
            <w:tcW w:type="dxa" w:w="3024"/>
          </w:tcPr>
          <w:p>
            <w:pPr>
              <w:spacing w:after="0"/>
            </w:pPr>
            <w:r/>
            <w:r>
              <w:rPr>
                <w:b w:val="0"/>
                <w:i w:val="0"/>
                <w:sz w:val="20"/>
              </w:rPr>
              <w:t>Confidential</w:t>
              <w:br/>
              <w:t>Financials, pricing, contracts, strategy, source code, customer business info</w:t>
            </w:r>
          </w:p>
        </w:tc>
        <w:tc>
          <w:tcPr>
            <w:tcW w:type="dxa" w:w="2304"/>
          </w:tcPr>
          <w:p>
            <w:pPr>
              <w:spacing w:after="0"/>
            </w:pPr>
            <w:r/>
            <w:r>
              <w:rPr>
                <w:b w:val="0"/>
                <w:i w:val="0"/>
                <w:sz w:val="20"/>
              </w:rPr>
              <w:t xml:space="preserve">Allowed </w:t>
            </w:r>
            <w:r>
              <w:rPr>
                <w:b/>
                <w:i w:val="0"/>
                <w:color w:val="1565C0"/>
                <w:sz w:val="20"/>
              </w:rPr>
              <w:t>[with care; minimum necessary]</w:t>
            </w:r>
          </w:p>
        </w:tc>
        <w:tc>
          <w:tcPr>
            <w:tcW w:type="dxa" w:w="2016"/>
          </w:tcPr>
          <w:p>
            <w:pPr>
              <w:spacing w:after="0"/>
            </w:pPr>
            <w:r/>
            <w:r>
              <w:rPr>
                <w:b w:val="0"/>
                <w:i w:val="0"/>
                <w:sz w:val="20"/>
              </w:rPr>
              <w:t>Only if explicitly listed</w:t>
            </w:r>
          </w:p>
        </w:tc>
        <w:tc>
          <w:tcPr>
            <w:tcW w:type="dxa" w:w="2016"/>
          </w:tcPr>
          <w:p>
            <w:pPr>
              <w:spacing w:after="0"/>
            </w:pPr>
            <w:r/>
            <w:r>
              <w:rPr>
                <w:b w:val="0"/>
                <w:i w:val="0"/>
                <w:sz w:val="20"/>
              </w:rPr>
              <w:t>Not allowed</w:t>
            </w:r>
          </w:p>
        </w:tc>
      </w:tr>
      <w:tr>
        <w:trPr>
          <w:cantSplit/>
        </w:trPr>
        <w:tc>
          <w:tcPr>
            <w:tcW w:type="dxa" w:w="3024"/>
            <w:shd w:val="clear" w:color="auto" w:fill="EEF5FD"/>
          </w:tcPr>
          <w:p>
            <w:pPr>
              <w:spacing w:after="0"/>
            </w:pPr>
            <w:r/>
            <w:r>
              <w:rPr>
                <w:b w:val="0"/>
                <w:i w:val="0"/>
                <w:sz w:val="20"/>
              </w:rPr>
              <w:t>Personal data</w:t>
              <w:br/>
              <w:t>Customer, employee, or applicant information</w:t>
            </w:r>
          </w:p>
        </w:tc>
        <w:tc>
          <w:tcPr>
            <w:tcW w:type="dxa" w:w="2304"/>
            <w:shd w:val="clear" w:color="auto" w:fill="EEF5FD"/>
          </w:tcPr>
          <w:p>
            <w:pPr>
              <w:spacing w:after="0"/>
            </w:pPr>
            <w:r/>
            <w:r>
              <w:rPr>
                <w:b w:val="0"/>
                <w:i w:val="0"/>
                <w:sz w:val="20"/>
              </w:rPr>
              <w:t>Only for approved use cases; minimize and de-identify where possible</w:t>
            </w:r>
          </w:p>
        </w:tc>
        <w:tc>
          <w:tcPr>
            <w:tcW w:type="dxa" w:w="2016"/>
            <w:shd w:val="clear" w:color="auto" w:fill="EEF5FD"/>
          </w:tcPr>
          <w:p>
            <w:pPr>
              <w:spacing w:after="0"/>
            </w:pPr>
            <w:r/>
            <w:r>
              <w:rPr>
                <w:b w:val="0"/>
                <w:i w:val="0"/>
                <w:sz w:val="20"/>
              </w:rPr>
              <w:t>Not allowed unless listed</w:t>
            </w:r>
          </w:p>
        </w:tc>
        <w:tc>
          <w:tcPr>
            <w:tcW w:type="dxa" w:w="2016"/>
            <w:shd w:val="clear" w:color="auto" w:fill="EEF5FD"/>
          </w:tcPr>
          <w:p>
            <w:pPr>
              <w:spacing w:after="0"/>
            </w:pPr>
            <w:r/>
            <w:r>
              <w:rPr>
                <w:b w:val="0"/>
                <w:i w:val="0"/>
                <w:sz w:val="20"/>
              </w:rPr>
              <w:t>Not allowed</w:t>
            </w:r>
          </w:p>
        </w:tc>
      </w:tr>
      <w:tr>
        <w:trPr>
          <w:cantSplit/>
        </w:trPr>
        <w:tc>
          <w:tcPr>
            <w:tcW w:type="dxa" w:w="3024"/>
          </w:tcPr>
          <w:p>
            <w:pPr>
              <w:spacing w:after="0"/>
            </w:pPr>
            <w:r/>
            <w:r>
              <w:rPr>
                <w:b w:val="0"/>
                <w:i w:val="0"/>
                <w:sz w:val="20"/>
              </w:rPr>
              <w:t>Restricted</w:t>
              <w:br/>
            </w:r>
            <w:r>
              <w:rPr>
                <w:b/>
                <w:i w:val="0"/>
                <w:color w:val="1565C0"/>
                <w:sz w:val="20"/>
              </w:rPr>
              <w:t>[PHI, payment card data, SSNs, passwords and keys, controlled government data]</w:t>
            </w:r>
          </w:p>
        </w:tc>
        <w:tc>
          <w:tcPr>
            <w:tcW w:type="dxa" w:w="2304"/>
          </w:tcPr>
          <w:p>
            <w:pPr>
              <w:spacing w:after="0"/>
            </w:pPr>
            <w:r/>
            <w:r>
              <w:rPr>
                <w:b/>
                <w:i w:val="0"/>
                <w:color w:val="1565C0"/>
                <w:sz w:val="20"/>
              </w:rPr>
              <w:t>[Not allowed / Only in tools approved for this data type]</w:t>
            </w:r>
          </w:p>
        </w:tc>
        <w:tc>
          <w:tcPr>
            <w:tcW w:type="dxa" w:w="2016"/>
          </w:tcPr>
          <w:p>
            <w:pPr>
              <w:spacing w:after="0"/>
            </w:pPr>
            <w:r/>
            <w:r>
              <w:rPr>
                <w:b w:val="0"/>
                <w:i w:val="0"/>
                <w:sz w:val="20"/>
              </w:rPr>
              <w:t>Not allowed</w:t>
            </w:r>
          </w:p>
        </w:tc>
        <w:tc>
          <w:tcPr>
            <w:tcW w:type="dxa" w:w="2016"/>
          </w:tcPr>
          <w:p>
            <w:pPr>
              <w:spacing w:after="0"/>
            </w:pPr>
            <w:r/>
            <w:r>
              <w:rPr>
                <w:b w:val="0"/>
                <w:i w:val="0"/>
                <w:sz w:val="20"/>
              </w:rPr>
              <w:t>Not allowed</w:t>
            </w:r>
          </w:p>
        </w:tc>
      </w:tr>
    </w:tbl>
    <w:p>
      <w:pPr>
        <w:spacing w:after="40"/>
      </w:pPr>
    </w:p>
    <w:p>
      <w:r>
        <w:rPr>
          <w:b/>
          <w:i w:val="0"/>
        </w:rPr>
        <w:t>Never enter passwords, API keys, access tokens, or other credentials into any AI tool.</w:t>
      </w:r>
    </w:p>
    <w:p>
      <w:pPr>
        <w:pStyle w:val="Heading1"/>
      </w:pPr>
      <w:r>
        <w:t>8. Acceptable Uses</w:t>
      </w:r>
    </w:p>
    <w:p>
      <w:r>
        <w:rPr>
          <w:b w:val="0"/>
          <w:i w:val="0"/>
        </w:rPr>
        <w:t>With approved tools and permitted data, workforce members are encouraged to use AI for work such as:</w:t>
      </w:r>
    </w:p>
    <w:p>
      <w:pPr>
        <w:pStyle w:val="ListBullet"/>
        <w:spacing w:after="60"/>
      </w:pPr>
      <w:r>
        <w:rPr>
          <w:b w:val="0"/>
          <w:i w:val="0"/>
        </w:rPr>
        <w:t>Drafting, editing, summarizing, and translating documents, emails, and presentations.</w:t>
      </w:r>
    </w:p>
    <w:p>
      <w:pPr>
        <w:pStyle w:val="ListBullet"/>
        <w:spacing w:after="60"/>
      </w:pPr>
      <w:r>
        <w:rPr>
          <w:b w:val="0"/>
          <w:i w:val="0"/>
        </w:rPr>
        <w:t>Brainstorming ideas, outlines, and options.</w:t>
      </w:r>
    </w:p>
    <w:p>
      <w:pPr>
        <w:pStyle w:val="ListBullet"/>
        <w:spacing w:after="60"/>
      </w:pPr>
      <w:r>
        <w:rPr>
          <w:b w:val="0"/>
          <w:i w:val="0"/>
        </w:rPr>
        <w:t>Researching topics, with sources independently verified.</w:t>
      </w:r>
    </w:p>
    <w:p>
      <w:pPr>
        <w:pStyle w:val="ListBullet"/>
        <w:spacing w:after="60"/>
      </w:pPr>
      <w:r>
        <w:rPr>
          <w:b w:val="0"/>
          <w:i w:val="0"/>
        </w:rPr>
        <w:t>Analyzing data that is permitted under Section 7.</w:t>
      </w:r>
    </w:p>
    <w:p>
      <w:pPr>
        <w:pStyle w:val="ListBullet"/>
        <w:spacing w:after="60"/>
      </w:pPr>
      <w:r>
        <w:rPr>
          <w:b w:val="0"/>
          <w:i w:val="0"/>
        </w:rPr>
        <w:t>Writing, explaining, and reviewing code, subject to Section 14 and our secure development practices.</w:t>
      </w:r>
    </w:p>
    <w:p>
      <w:pPr>
        <w:pStyle w:val="ListBullet"/>
        <w:spacing w:after="60"/>
      </w:pPr>
      <w:r>
        <w:rPr>
          <w:b w:val="0"/>
          <w:i w:val="0"/>
        </w:rPr>
        <w:t>Automating routine workflows that have been approved through the intake process.</w:t>
      </w:r>
    </w:p>
    <w:p>
      <w:pPr>
        <w:pStyle w:val="ListBullet"/>
        <w:spacing w:after="60"/>
      </w:pPr>
      <w:r>
        <w:rPr>
          <w:b w:val="0"/>
          <w:i w:val="0"/>
        </w:rPr>
        <w:t>Answering questions from our internal knowledge base and approved documentation.</w:t>
      </w:r>
    </w:p>
    <w:p>
      <w:pPr>
        <w:pStyle w:val="Heading1"/>
      </w:pPr>
      <w:r>
        <w:t>9. Prohibited Uses</w:t>
      </w:r>
    </w:p>
    <w:p>
      <w:r>
        <w:rPr>
          <w:b w:val="0"/>
          <w:i w:val="0"/>
        </w:rPr>
        <w:t>Workforce members must not use AI to:</w:t>
      </w:r>
    </w:p>
    <w:p>
      <w:pPr>
        <w:pStyle w:val="ListBullet"/>
        <w:spacing w:after="60"/>
      </w:pPr>
      <w:r>
        <w:rPr>
          <w:b w:val="0"/>
          <w:i w:val="0"/>
        </w:rPr>
        <w:t>Make or materially determine final decisions about hiring, firing, promotion, pay, discipline, credit, insurance, housing, or access to essential services without a Tier 3 review and human decision-maker.</w:t>
      </w:r>
    </w:p>
    <w:p>
      <w:pPr>
        <w:pStyle w:val="ListBullet"/>
        <w:spacing w:after="60"/>
      </w:pPr>
      <w:r>
        <w:rPr>
          <w:b w:val="0"/>
          <w:i w:val="0"/>
        </w:rPr>
        <w:t>Enter data in violation of Section 7, or bypass security controls.</w:t>
      </w:r>
    </w:p>
    <w:p>
      <w:pPr>
        <w:pStyle w:val="ListBullet"/>
        <w:spacing w:after="60"/>
      </w:pPr>
      <w:r>
        <w:rPr>
          <w:b w:val="0"/>
          <w:i w:val="0"/>
        </w:rPr>
        <w:t>Generate content that is unlawful, discriminatory, harassing, deceptive, or infringes intellectual property.</w:t>
      </w:r>
    </w:p>
    <w:p>
      <w:pPr>
        <w:pStyle w:val="ListBullet"/>
        <w:spacing w:after="60"/>
      </w:pPr>
      <w:r>
        <w:rPr>
          <w:b w:val="0"/>
          <w:i w:val="0"/>
        </w:rPr>
        <w:t>Impersonate a real person, or create deepfakes of real people without their documented consent.</w:t>
      </w:r>
    </w:p>
    <w:p>
      <w:pPr>
        <w:pStyle w:val="ListBullet"/>
        <w:spacing w:after="60"/>
      </w:pPr>
      <w:r>
        <w:rPr>
          <w:b w:val="0"/>
          <w:i w:val="0"/>
        </w:rPr>
        <w:t>Give customers legal, medical, financial, or safety advice without review by a qualified person.</w:t>
      </w:r>
    </w:p>
    <w:p>
      <w:pPr>
        <w:pStyle w:val="ListBullet"/>
        <w:spacing w:after="60"/>
      </w:pPr>
      <w:r>
        <w:rPr>
          <w:b w:val="0"/>
          <w:i w:val="0"/>
        </w:rPr>
        <w:t>Monitor or profile employees or customers beyond what is disclosed and lawful.</w:t>
      </w:r>
    </w:p>
    <w:p>
      <w:pPr>
        <w:pStyle w:val="ListBullet"/>
        <w:spacing w:after="60"/>
      </w:pPr>
      <w:r>
        <w:rPr>
          <w:b w:val="0"/>
          <w:i w:val="0"/>
        </w:rPr>
        <w:t>Present AI output as verified fact, or as a person's own professional judgment, without review.</w:t>
      </w:r>
    </w:p>
    <w:p>
      <w:pPr>
        <w:pStyle w:val="ListBullet"/>
        <w:spacing w:after="60"/>
      </w:pPr>
      <w:r>
        <w:rPr>
          <w:b w:val="0"/>
          <w:i w:val="0"/>
        </w:rPr>
        <w:t>Connect AI agents to systems, accounts, or payment methods without approval under Section 12.</w:t>
      </w:r>
    </w:p>
    <w:p>
      <w:pPr>
        <w:pStyle w:val="ListBullet"/>
        <w:spacing w:after="60"/>
      </w:pPr>
      <w:r>
        <w:rPr>
          <w:b/>
          <w:i w:val="0"/>
          <w:color w:val="1565C0"/>
        </w:rPr>
        <w:t>[Add industry-specific prohibitions.]</w:t>
      </w:r>
    </w:p>
    <w:p>
      <w:pPr>
        <w:pStyle w:val="Heading1"/>
      </w:pPr>
      <w:r>
        <w:t>10. Risk Tiers and Approvals</w:t>
      </w:r>
    </w:p>
    <w:p>
      <w:r>
        <w:rPr>
          <w:b w:val="0"/>
          <w:i w:val="0"/>
        </w:rPr>
        <w:t>Every AI use case is assigned a risk tier. Higher tiers require more review before use and closer monitoring afterward.</w:t>
      </w:r>
    </w:p>
    <w:tbl>
      <w:tblPr>
        <w:tblStyle w:val="TableGrid"/>
        <w:tblW w:type="auto" w:w="0"/>
        <w:jc w:val="center"/>
        <w:tblLayout w:type="fixed"/>
        <w:tblLook w:firstColumn="1" w:firstRow="1" w:lastColumn="0" w:lastRow="0" w:noHBand="0" w:noVBand="1" w:val="04A0"/>
      </w:tblPr>
      <w:tblGrid>
        <w:gridCol w:w="1296"/>
        <w:gridCol w:w="3024"/>
        <w:gridCol w:w="2880"/>
        <w:gridCol w:w="2160"/>
      </w:tblGrid>
      <w:tr>
        <w:trPr>
          <w:tblHeader/>
          <w:cantSplit/>
        </w:trPr>
        <w:tc>
          <w:tcPr>
            <w:tcW w:type="dxa" w:w="1296"/>
            <w:shd w:val="clear" w:color="auto" w:fill="1565C0"/>
          </w:tcPr>
          <w:p>
            <w:r/>
            <w:r>
              <w:rPr>
                <w:b/>
                <w:color w:val="FFFFFF"/>
                <w:sz w:val="20"/>
              </w:rPr>
              <w:t>Tier</w:t>
            </w:r>
          </w:p>
        </w:tc>
        <w:tc>
          <w:tcPr>
            <w:tcW w:type="dxa" w:w="3024"/>
            <w:shd w:val="clear" w:color="auto" w:fill="1565C0"/>
          </w:tcPr>
          <w:p>
            <w:r/>
            <w:r>
              <w:rPr>
                <w:b/>
                <w:color w:val="FFFFFF"/>
                <w:sz w:val="20"/>
              </w:rPr>
              <w:t>Description</w:t>
            </w:r>
          </w:p>
        </w:tc>
        <w:tc>
          <w:tcPr>
            <w:tcW w:type="dxa" w:w="2880"/>
            <w:shd w:val="clear" w:color="auto" w:fill="1565C0"/>
          </w:tcPr>
          <w:p>
            <w:r/>
            <w:r>
              <w:rPr>
                <w:b/>
                <w:color w:val="FFFFFF"/>
                <w:sz w:val="20"/>
              </w:rPr>
              <w:t>Examples</w:t>
            </w:r>
          </w:p>
        </w:tc>
        <w:tc>
          <w:tcPr>
            <w:tcW w:type="dxa" w:w="2160"/>
            <w:shd w:val="clear" w:color="auto" w:fill="1565C0"/>
          </w:tcPr>
          <w:p>
            <w:r/>
            <w:r>
              <w:rPr>
                <w:b/>
                <w:color w:val="FFFFFF"/>
                <w:sz w:val="20"/>
              </w:rPr>
              <w:t>Approval required</w:t>
            </w:r>
          </w:p>
        </w:tc>
      </w:tr>
      <w:tr>
        <w:trPr>
          <w:cantSplit/>
        </w:trPr>
        <w:tc>
          <w:tcPr>
            <w:tcW w:type="dxa" w:w="1296"/>
          </w:tcPr>
          <w:p>
            <w:pPr>
              <w:spacing w:after="0"/>
            </w:pPr>
            <w:r/>
            <w:r>
              <w:rPr>
                <w:b w:val="0"/>
                <w:i w:val="0"/>
                <w:sz w:val="20"/>
              </w:rPr>
              <w:t>Tier 1</w:t>
              <w:br/>
              <w:t>Low</w:t>
            </w:r>
          </w:p>
        </w:tc>
        <w:tc>
          <w:tcPr>
            <w:tcW w:type="dxa" w:w="3024"/>
          </w:tcPr>
          <w:p>
            <w:pPr>
              <w:spacing w:after="0"/>
            </w:pPr>
            <w:r/>
            <w:r>
              <w:rPr>
                <w:b w:val="0"/>
                <w:i w:val="0"/>
                <w:sz w:val="20"/>
              </w:rPr>
              <w:t>Personal productivity using approved tools and permitted data. A person reviews all output before it is used.</w:t>
            </w:r>
          </w:p>
        </w:tc>
        <w:tc>
          <w:tcPr>
            <w:tcW w:type="dxa" w:w="2880"/>
          </w:tcPr>
          <w:p>
            <w:pPr>
              <w:spacing w:after="0"/>
            </w:pPr>
            <w:r/>
            <w:r>
              <w:rPr>
                <w:b w:val="0"/>
                <w:i w:val="0"/>
                <w:sz w:val="20"/>
              </w:rPr>
              <w:t>Drafting an internal email; summarizing a public article; brainstorming</w:t>
            </w:r>
          </w:p>
        </w:tc>
        <w:tc>
          <w:tcPr>
            <w:tcW w:type="dxa" w:w="2160"/>
          </w:tcPr>
          <w:p>
            <w:pPr>
              <w:spacing w:after="0"/>
            </w:pPr>
            <w:r/>
            <w:r>
              <w:rPr>
                <w:b w:val="0"/>
                <w:i w:val="0"/>
                <w:sz w:val="20"/>
              </w:rPr>
              <w:t>None beyond this policy</w:t>
            </w:r>
          </w:p>
        </w:tc>
      </w:tr>
      <w:tr>
        <w:trPr>
          <w:cantSplit/>
        </w:trPr>
        <w:tc>
          <w:tcPr>
            <w:tcW w:type="dxa" w:w="1296"/>
            <w:shd w:val="clear" w:color="auto" w:fill="EEF5FD"/>
          </w:tcPr>
          <w:p>
            <w:pPr>
              <w:spacing w:after="0"/>
            </w:pPr>
            <w:r/>
            <w:r>
              <w:rPr>
                <w:b w:val="0"/>
                <w:i w:val="0"/>
                <w:sz w:val="20"/>
              </w:rPr>
              <w:t>Tier 2</w:t>
              <w:br/>
              <w:t>Moderate</w:t>
            </w:r>
          </w:p>
        </w:tc>
        <w:tc>
          <w:tcPr>
            <w:tcW w:type="dxa" w:w="3024"/>
            <w:shd w:val="clear" w:color="auto" w:fill="EEF5FD"/>
          </w:tcPr>
          <w:p>
            <w:pPr>
              <w:spacing w:after="0"/>
            </w:pPr>
            <w:r/>
            <w:r>
              <w:rPr>
                <w:b w:val="0"/>
                <w:i w:val="0"/>
                <w:sz w:val="20"/>
              </w:rPr>
              <w:t>Output reaches customers or the public, uses confidential or personal data, or automates a business process with human review.</w:t>
            </w:r>
          </w:p>
        </w:tc>
        <w:tc>
          <w:tcPr>
            <w:tcW w:type="dxa" w:w="2880"/>
            <w:shd w:val="clear" w:color="auto" w:fill="EEF5FD"/>
          </w:tcPr>
          <w:p>
            <w:pPr>
              <w:spacing w:after="0"/>
            </w:pPr>
            <w:r/>
            <w:r>
              <w:rPr>
                <w:b w:val="0"/>
                <w:i w:val="0"/>
                <w:sz w:val="20"/>
              </w:rPr>
              <w:t>Customer email drafts; marketing content; support chatbot with escalation; report automation</w:t>
            </w:r>
          </w:p>
        </w:tc>
        <w:tc>
          <w:tcPr>
            <w:tcW w:type="dxa" w:w="2160"/>
            <w:shd w:val="clear" w:color="auto" w:fill="EEF5FD"/>
          </w:tcPr>
          <w:p>
            <w:pPr>
              <w:spacing w:after="0"/>
            </w:pPr>
            <w:r/>
            <w:r>
              <w:rPr>
                <w:b w:val="0"/>
                <w:i w:val="0"/>
                <w:sz w:val="20"/>
              </w:rPr>
              <w:t>Manager + AI Governance Lead; logged in the register</w:t>
            </w:r>
          </w:p>
        </w:tc>
      </w:tr>
      <w:tr>
        <w:trPr>
          <w:cantSplit/>
        </w:trPr>
        <w:tc>
          <w:tcPr>
            <w:tcW w:type="dxa" w:w="1296"/>
          </w:tcPr>
          <w:p>
            <w:pPr>
              <w:spacing w:after="0"/>
            </w:pPr>
            <w:r/>
            <w:r>
              <w:rPr>
                <w:b w:val="0"/>
                <w:i w:val="0"/>
                <w:sz w:val="20"/>
              </w:rPr>
              <w:t>Tier 3</w:t>
              <w:br/>
              <w:t>High</w:t>
            </w:r>
          </w:p>
        </w:tc>
        <w:tc>
          <w:tcPr>
            <w:tcW w:type="dxa" w:w="3024"/>
          </w:tcPr>
          <w:p>
            <w:pPr>
              <w:spacing w:after="0"/>
            </w:pPr>
            <w:r/>
            <w:r>
              <w:rPr>
                <w:b w:val="0"/>
                <w:i w:val="0"/>
                <w:sz w:val="20"/>
              </w:rPr>
              <w:t>AI acts autonomously, affects people's rights or opportunities, handles restricted data, moves money, or creates legal commitments.</w:t>
            </w:r>
          </w:p>
        </w:tc>
        <w:tc>
          <w:tcPr>
            <w:tcW w:type="dxa" w:w="2880"/>
          </w:tcPr>
          <w:p>
            <w:pPr>
              <w:spacing w:after="0"/>
            </w:pPr>
            <w:r/>
            <w:r>
              <w:rPr>
                <w:b w:val="0"/>
                <w:i w:val="0"/>
                <w:sz w:val="20"/>
              </w:rPr>
              <w:t>AI agents that send payments or sign up customers; screening job applicants; pricing or credit decisions</w:t>
            </w:r>
          </w:p>
        </w:tc>
        <w:tc>
          <w:tcPr>
            <w:tcW w:type="dxa" w:w="2160"/>
          </w:tcPr>
          <w:p>
            <w:pPr>
              <w:spacing w:after="0"/>
            </w:pPr>
            <w:r/>
            <w:r>
              <w:rPr>
                <w:b w:val="0"/>
                <w:i w:val="0"/>
                <w:sz w:val="20"/>
              </w:rPr>
              <w:t>AI Review Group; documented impact assessment, testing, monitoring plan, and named system owner</w:t>
            </w:r>
          </w:p>
        </w:tc>
      </w:tr>
      <w:tr>
        <w:trPr>
          <w:cantSplit/>
        </w:trPr>
        <w:tc>
          <w:tcPr>
            <w:tcW w:type="dxa" w:w="1296"/>
            <w:shd w:val="clear" w:color="auto" w:fill="EEF5FD"/>
          </w:tcPr>
          <w:p>
            <w:pPr>
              <w:spacing w:after="0"/>
            </w:pPr>
            <w:r/>
            <w:r>
              <w:rPr>
                <w:b w:val="0"/>
                <w:i w:val="0"/>
                <w:sz w:val="20"/>
              </w:rPr>
              <w:t>Prohibited</w:t>
            </w:r>
          </w:p>
        </w:tc>
        <w:tc>
          <w:tcPr>
            <w:tcW w:type="dxa" w:w="3024"/>
            <w:shd w:val="clear" w:color="auto" w:fill="EEF5FD"/>
          </w:tcPr>
          <w:p>
            <w:pPr>
              <w:spacing w:after="0"/>
            </w:pPr>
            <w:r/>
            <w:r>
              <w:rPr>
                <w:b w:val="0"/>
                <w:i w:val="0"/>
                <w:sz w:val="20"/>
              </w:rPr>
              <w:t>Uses listed in Section 9 or barred by law.</w:t>
            </w:r>
          </w:p>
        </w:tc>
        <w:tc>
          <w:tcPr>
            <w:tcW w:type="dxa" w:w="2880"/>
            <w:shd w:val="clear" w:color="auto" w:fill="EEF5FD"/>
          </w:tcPr>
          <w:p>
            <w:pPr>
              <w:spacing w:after="0"/>
            </w:pPr>
            <w:r/>
            <w:r>
              <w:rPr>
                <w:b w:val="0"/>
                <w:i w:val="0"/>
                <w:sz w:val="20"/>
              </w:rPr>
              <w:t>See Section 9</w:t>
            </w:r>
          </w:p>
        </w:tc>
        <w:tc>
          <w:tcPr>
            <w:tcW w:type="dxa" w:w="2160"/>
            <w:shd w:val="clear" w:color="auto" w:fill="EEF5FD"/>
          </w:tcPr>
          <w:p>
            <w:pPr>
              <w:spacing w:after="0"/>
            </w:pPr>
            <w:r/>
            <w:r>
              <w:rPr>
                <w:b w:val="0"/>
                <w:i w:val="0"/>
                <w:sz w:val="20"/>
              </w:rPr>
              <w:t>Not permitted</w:t>
            </w:r>
          </w:p>
        </w:tc>
      </w:tr>
    </w:tbl>
    <w:p>
      <w:pPr>
        <w:spacing w:after="40"/>
      </w:pPr>
    </w:p>
    <w:p>
      <w:pPr>
        <w:pStyle w:val="Heading1"/>
      </w:pPr>
      <w:r>
        <w:t>11. Human Oversight and Review of AI Output</w:t>
      </w:r>
    </w:p>
    <w:p>
      <w:pPr>
        <w:pStyle w:val="ListBullet"/>
        <w:spacing w:after="60"/>
      </w:pPr>
      <w:r>
        <w:rPr>
          <w:b w:val="0"/>
          <w:i w:val="0"/>
        </w:rPr>
        <w:t>You are responsible for anything you create, send, or decide with AI assistance, as if you produced it yourself.</w:t>
      </w:r>
    </w:p>
    <w:p>
      <w:pPr>
        <w:pStyle w:val="ListBullet"/>
        <w:spacing w:after="60"/>
      </w:pPr>
      <w:r>
        <w:rPr>
          <w:b w:val="0"/>
          <w:i w:val="0"/>
        </w:rPr>
        <w:t>Check AI output for accuracy, completeness, tone, bias, and confidential information before using it. Verify facts, figures, citations, and legal or regulatory statements against reliable sources.</w:t>
      </w:r>
    </w:p>
    <w:p>
      <w:pPr>
        <w:pStyle w:val="ListBullet"/>
        <w:spacing w:after="60"/>
      </w:pPr>
      <w:r>
        <w:rPr>
          <w:b w:val="0"/>
          <w:i w:val="0"/>
        </w:rPr>
        <w:t>Tier 2 and Tier 3 workflows must define who reviews AI output, what they check, and when a person must approve before anything takes effect.</w:t>
      </w:r>
    </w:p>
    <w:p>
      <w:pPr>
        <w:pStyle w:val="ListBullet"/>
        <w:spacing w:after="60"/>
      </w:pPr>
      <w:r>
        <w:rPr>
          <w:b w:val="0"/>
          <w:i w:val="0"/>
        </w:rPr>
        <w:t>Reviewers must have the knowledge and the authority to reject or override AI output, and enough time to review it meaningfully.</w:t>
      </w:r>
    </w:p>
    <w:p>
      <w:pPr>
        <w:pStyle w:val="Heading1"/>
      </w:pPr>
      <w:r>
        <w:t>12. AI Agents and Automated Actions</w:t>
      </w:r>
    </w:p>
    <w:p>
      <w:r>
        <w:rPr>
          <w:b w:val="0"/>
          <w:i w:val="0"/>
        </w:rPr>
        <w:t>AI agents that can act on their own create unique risks. Before an agent goes live:</w:t>
      </w:r>
    </w:p>
    <w:p>
      <w:pPr>
        <w:pStyle w:val="ListBullet"/>
        <w:spacing w:after="60"/>
      </w:pPr>
      <w:r>
        <w:rPr>
          <w:b/>
        </w:rPr>
        <w:t xml:space="preserve">Least privilege. </w:t>
      </w:r>
      <w:r>
        <w:rPr>
          <w:b w:val="0"/>
          <w:i w:val="0"/>
        </w:rPr>
        <w:t>Give the agent only the permissions it needs, using its own credentials. Never use a person's login.</w:t>
      </w:r>
    </w:p>
    <w:p>
      <w:pPr>
        <w:pStyle w:val="ListBullet"/>
        <w:spacing w:after="60"/>
      </w:pPr>
      <w:r>
        <w:rPr>
          <w:b/>
        </w:rPr>
        <w:t xml:space="preserve">Approval gates. </w:t>
      </w:r>
      <w:r>
        <w:rPr>
          <w:b w:val="0"/>
          <w:i w:val="0"/>
        </w:rPr>
        <w:t xml:space="preserve">Require human approval before an agent </w:t>
      </w:r>
      <w:r>
        <w:rPr>
          <w:b/>
          <w:i w:val="0"/>
          <w:color w:val="1565C0"/>
        </w:rPr>
        <w:t>[sends money, issues refunds above [$amount]</w:t>
      </w:r>
      <w:r>
        <w:rPr>
          <w:b w:val="0"/>
          <w:i w:val="0"/>
        </w:rPr>
        <w:t>, makes commitments to customers, signs or changes contracts, deletes records, or emails external parties in bulk].</w:t>
      </w:r>
    </w:p>
    <w:p>
      <w:pPr>
        <w:pStyle w:val="ListBullet"/>
        <w:spacing w:after="60"/>
      </w:pPr>
      <w:r>
        <w:rPr>
          <w:b/>
        </w:rPr>
        <w:t xml:space="preserve">Limits. </w:t>
      </w:r>
      <w:r>
        <w:rPr>
          <w:b w:val="0"/>
          <w:i w:val="0"/>
        </w:rPr>
        <w:t>Set spending, rate, and volume limits.</w:t>
      </w:r>
    </w:p>
    <w:p>
      <w:pPr>
        <w:pStyle w:val="ListBullet"/>
        <w:spacing w:after="60"/>
      </w:pPr>
      <w:r>
        <w:rPr>
          <w:b/>
        </w:rPr>
        <w:t xml:space="preserve">Logging. </w:t>
      </w:r>
      <w:r>
        <w:rPr>
          <w:b w:val="0"/>
          <w:i w:val="0"/>
        </w:rPr>
        <w:t>Record every action, input, output, and approval (see Section 16).</w:t>
      </w:r>
    </w:p>
    <w:p>
      <w:pPr>
        <w:pStyle w:val="ListBullet"/>
        <w:spacing w:after="60"/>
      </w:pPr>
      <w:r>
        <w:rPr>
          <w:b/>
        </w:rPr>
        <w:t xml:space="preserve">Kill switch. </w:t>
      </w:r>
      <w:r>
        <w:rPr>
          <w:b w:val="0"/>
          <w:i w:val="0"/>
        </w:rPr>
        <w:t>Make sure the system owner can pause or disable the agent immediately.</w:t>
      </w:r>
    </w:p>
    <w:p>
      <w:pPr>
        <w:pStyle w:val="ListBullet"/>
        <w:spacing w:after="60"/>
      </w:pPr>
      <w:r>
        <w:rPr>
          <w:b/>
        </w:rPr>
        <w:t xml:space="preserve">Testing. </w:t>
      </w:r>
      <w:r>
        <w:rPr>
          <w:b w:val="0"/>
          <w:i w:val="0"/>
        </w:rPr>
        <w:t>Test with realistic scenarios, including attempts to trick the agent (for example, malicious instructions hidden in emails or documents), before production use.</w:t>
      </w:r>
    </w:p>
    <w:p>
      <w:pPr>
        <w:pStyle w:val="Heading1"/>
      </w:pPr>
      <w:r>
        <w:t>13. Transparency and Disclosure</w:t>
      </w:r>
    </w:p>
    <w:p>
      <w:pPr>
        <w:pStyle w:val="ListBullet"/>
        <w:spacing w:after="60"/>
      </w:pPr>
      <w:r>
        <w:rPr>
          <w:b w:val="0"/>
          <w:i w:val="0"/>
        </w:rPr>
        <w:t>Tell customers when they are interacting with an AI system rather than a person (for example, chatbots and AI voice agents), and offer a way to reach a person.</w:t>
      </w:r>
    </w:p>
    <w:p>
      <w:pPr>
        <w:pStyle w:val="ListBullet"/>
        <w:spacing w:after="60"/>
      </w:pPr>
      <w:r>
        <w:rPr>
          <w:b w:val="0"/>
          <w:i w:val="0"/>
        </w:rPr>
        <w:t>Label AI-generated images, audio, or video where it could mislead, and where required by law or platform rules.</w:t>
      </w:r>
    </w:p>
    <w:p>
      <w:pPr>
        <w:pStyle w:val="ListBullet"/>
        <w:spacing w:after="60"/>
      </w:pPr>
      <w:r>
        <w:rPr>
          <w:b w:val="0"/>
          <w:i w:val="0"/>
        </w:rPr>
        <w:t xml:space="preserve">Disclose AI use in client deliverables where contracts, professional standards, or client expectations require it. </w:t>
      </w:r>
      <w:r>
        <w:rPr>
          <w:b/>
          <w:i w:val="0"/>
          <w:color w:val="1565C0"/>
        </w:rPr>
        <w:t>[Specify your default practice.]</w:t>
      </w:r>
    </w:p>
    <w:p>
      <w:pPr>
        <w:pStyle w:val="ListBullet"/>
        <w:spacing w:after="60"/>
      </w:pPr>
      <w:r>
        <w:rPr>
          <w:b w:val="0"/>
          <w:i w:val="0"/>
        </w:rPr>
        <w:t>Be prepared to explain, in plain language, how AI contributed to decisions that affect customers or employees.</w:t>
      </w:r>
    </w:p>
    <w:p>
      <w:pPr>
        <w:pStyle w:val="Heading1"/>
      </w:pPr>
      <w:r>
        <w:t>14. Intellectual Property and Third-Party Content</w:t>
      </w:r>
    </w:p>
    <w:p>
      <w:pPr>
        <w:pStyle w:val="ListBullet"/>
        <w:spacing w:after="60"/>
      </w:pPr>
      <w:r>
        <w:rPr>
          <w:b w:val="0"/>
          <w:i w:val="0"/>
        </w:rPr>
        <w:t>Do not input third-party content you do not have the right to use, such as licensed materials or client data, outside the terms of the relevant agreement.</w:t>
      </w:r>
    </w:p>
    <w:p>
      <w:pPr>
        <w:pStyle w:val="ListBullet"/>
        <w:spacing w:after="60"/>
      </w:pPr>
      <w:r>
        <w:rPr>
          <w:b w:val="0"/>
          <w:i w:val="0"/>
        </w:rPr>
        <w:t>Review AI-generated code for license, security, and quality issues before committing it.</w:t>
      </w:r>
    </w:p>
    <w:p>
      <w:pPr>
        <w:pStyle w:val="ListBullet"/>
        <w:spacing w:after="60"/>
      </w:pPr>
      <w:r>
        <w:rPr>
          <w:b w:val="0"/>
          <w:i w:val="0"/>
        </w:rPr>
        <w:t>AI-generated content may not be eligible for copyright protection. Involve a person meaningfully in creating work products we need to own.</w:t>
      </w:r>
    </w:p>
    <w:p>
      <w:pPr>
        <w:pStyle w:val="ListBullet"/>
        <w:spacing w:after="60"/>
      </w:pPr>
      <w:r>
        <w:rPr>
          <w:b w:val="0"/>
          <w:i w:val="0"/>
        </w:rPr>
        <w:t xml:space="preserve">Work product created with AI for </w:t>
      </w:r>
      <w:r>
        <w:rPr>
          <w:b/>
          <w:i w:val="0"/>
          <w:color w:val="1565C0"/>
        </w:rPr>
        <w:t>[Company Name]</w:t>
      </w:r>
      <w:r>
        <w:rPr>
          <w:b w:val="0"/>
          <w:i w:val="0"/>
        </w:rPr>
        <w:t xml:space="preserve"> belongs to </w:t>
      </w:r>
      <w:r>
        <w:rPr>
          <w:b/>
          <w:i w:val="0"/>
          <w:color w:val="1565C0"/>
        </w:rPr>
        <w:t>[Company Name]</w:t>
      </w:r>
      <w:r>
        <w:rPr>
          <w:b w:val="0"/>
          <w:i w:val="0"/>
        </w:rPr>
        <w:t xml:space="preserve"> under existing agreements.</w:t>
      </w:r>
    </w:p>
    <w:p>
      <w:pPr>
        <w:pStyle w:val="Heading1"/>
      </w:pPr>
      <w:r>
        <w:t>15. Vendor and Third-Party AI</w:t>
      </w:r>
    </w:p>
    <w:p>
      <w:r>
        <w:rPr>
          <w:b w:val="0"/>
          <w:i w:val="0"/>
        </w:rPr>
        <w:t>Before approving an AI vendor, or enabling a new AI feature in existing software, IT/Security and the AI Governance Lead confirm:</w:t>
      </w:r>
    </w:p>
    <w:p>
      <w:pPr>
        <w:pStyle w:val="ListBullet"/>
        <w:spacing w:after="60"/>
      </w:pPr>
      <w:r>
        <w:rPr>
          <w:b w:val="0"/>
          <w:i w:val="0"/>
        </w:rPr>
        <w:t>Whether our data is used to train models, how long it is kept, and where it is processed.</w:t>
      </w:r>
    </w:p>
    <w:p>
      <w:pPr>
        <w:pStyle w:val="ListBullet"/>
        <w:spacing w:after="60"/>
      </w:pPr>
      <w:r>
        <w:rPr>
          <w:b w:val="0"/>
          <w:i w:val="0"/>
        </w:rPr>
        <w:t>Security certifications (for example, SOC 2 Type II or ISO 27001) and, where relevant, ISO/IEC 42001.</w:t>
      </w:r>
    </w:p>
    <w:p>
      <w:pPr>
        <w:pStyle w:val="ListBullet"/>
        <w:spacing w:after="60"/>
      </w:pPr>
      <w:r>
        <w:rPr>
          <w:b w:val="0"/>
          <w:i w:val="0"/>
        </w:rPr>
        <w:t>Admin controls, single sign-on, audit logs, and data export and deletion.</w:t>
      </w:r>
    </w:p>
    <w:p>
      <w:pPr>
        <w:pStyle w:val="ListBullet"/>
        <w:spacing w:after="60"/>
      </w:pPr>
      <w:r>
        <w:rPr>
          <w:b w:val="0"/>
          <w:i w:val="0"/>
        </w:rPr>
        <w:t>Contract terms covering confidentiality, IP ownership, breach notification, and subprocessors.</w:t>
      </w:r>
    </w:p>
    <w:p>
      <w:pPr>
        <w:pStyle w:val="ListBullet"/>
        <w:spacing w:after="60"/>
      </w:pPr>
      <w:r>
        <w:rPr>
          <w:b w:val="0"/>
          <w:i w:val="0"/>
        </w:rPr>
        <w:t>Regulatory fit for our data, such as a HIPAA business associate agreement or data processing agreement.</w:t>
      </w:r>
    </w:p>
    <w:p>
      <w:r>
        <w:rPr>
          <w:b w:val="0"/>
          <w:i w:val="0"/>
        </w:rPr>
        <w:t>Vendors that use AI on our behalf or on our data must follow this policy or equivalent contractual terms.</w:t>
      </w:r>
    </w:p>
    <w:p>
      <w:pPr>
        <w:pStyle w:val="Heading1"/>
      </w:pPr>
      <w:r>
        <w:t>16. Monitoring, Logging, and Records</w:t>
      </w:r>
    </w:p>
    <w:p>
      <w:pPr>
        <w:pStyle w:val="ListBullet"/>
        <w:spacing w:after="60"/>
      </w:pPr>
      <w:r>
        <w:rPr>
          <w:b w:val="0"/>
          <w:i w:val="0"/>
        </w:rPr>
        <w:t xml:space="preserve">System owners of Tier 2 and Tier 3 systems maintain logs of AI inputs, outputs, actions, and human approvals for </w:t>
      </w:r>
      <w:r>
        <w:rPr>
          <w:b/>
          <w:i w:val="0"/>
          <w:color w:val="1565C0"/>
        </w:rPr>
        <w:t>[retention period, e.g., 12 months or as required by law]</w:t>
      </w:r>
      <w:r>
        <w:rPr>
          <w:b w:val="0"/>
          <w:i w:val="0"/>
        </w:rPr>
        <w:t>.</w:t>
      </w:r>
    </w:p>
    <w:p>
      <w:pPr>
        <w:pStyle w:val="ListBullet"/>
        <w:spacing w:after="60"/>
      </w:pPr>
      <w:r>
        <w:rPr>
          <w:b w:val="0"/>
          <w:i w:val="0"/>
        </w:rPr>
        <w:t xml:space="preserve">System owners monitor accuracy, errors, complaints, cost, and drift, and review performance at least </w:t>
      </w:r>
      <w:r>
        <w:rPr>
          <w:b/>
          <w:i w:val="0"/>
          <w:color w:val="1565C0"/>
        </w:rPr>
        <w:t>[quarterly]</w:t>
      </w:r>
      <w:r>
        <w:rPr>
          <w:b w:val="0"/>
          <w:i w:val="0"/>
        </w:rPr>
        <w:t>.</w:t>
      </w:r>
    </w:p>
    <w:p>
      <w:pPr>
        <w:pStyle w:val="ListBullet"/>
        <w:spacing w:after="60"/>
      </w:pPr>
      <w:r>
        <w:rPr>
          <w:b w:val="0"/>
          <w:i w:val="0"/>
        </w:rPr>
        <w:t>The AI Tool Register records each system's purpose, owner, risk tier, data types, vendor, and review dates.</w:t>
      </w:r>
    </w:p>
    <w:p>
      <w:pPr>
        <w:pStyle w:val="ListBullet"/>
        <w:spacing w:after="60"/>
      </w:pPr>
      <w:r>
        <w:rPr>
          <w:b/>
          <w:i w:val="0"/>
          <w:color w:val="1565C0"/>
        </w:rPr>
        <w:t>[Company Name]</w:t>
      </w:r>
      <w:r>
        <w:rPr>
          <w:b w:val="0"/>
          <w:i w:val="0"/>
        </w:rPr>
        <w:t xml:space="preserve"> may monitor use of company AI tools in line with our acceptable use and privacy policies.</w:t>
      </w:r>
    </w:p>
    <w:p>
      <w:pPr>
        <w:pStyle w:val="Heading1"/>
      </w:pPr>
      <w:r>
        <w:t>17. Incident Reporting</w:t>
      </w:r>
    </w:p>
    <w:p>
      <w:r>
        <w:rPr>
          <w:b w:val="0"/>
          <w:i w:val="0"/>
        </w:rPr>
        <w:t xml:space="preserve">Report AI incidents to </w:t>
      </w:r>
      <w:r>
        <w:rPr>
          <w:b/>
          <w:i w:val="0"/>
          <w:color w:val="1565C0"/>
        </w:rPr>
        <w:t>[AI Governance Lead / security email / channel]</w:t>
      </w:r>
      <w:r>
        <w:rPr>
          <w:b w:val="0"/>
          <w:i w:val="0"/>
        </w:rPr>
        <w:t xml:space="preserve"> immediately, and no later than </w:t>
      </w:r>
      <w:r>
        <w:rPr>
          <w:b/>
          <w:i w:val="0"/>
          <w:color w:val="1565C0"/>
        </w:rPr>
        <w:t>[24 hours]</w:t>
      </w:r>
      <w:r>
        <w:rPr>
          <w:b w:val="0"/>
          <w:i w:val="0"/>
        </w:rPr>
        <w:t xml:space="preserve"> after discovery. Incidents include:</w:t>
      </w:r>
    </w:p>
    <w:p>
      <w:pPr>
        <w:pStyle w:val="ListBullet"/>
        <w:spacing w:after="60"/>
      </w:pPr>
      <w:r>
        <w:rPr>
          <w:b w:val="0"/>
          <w:i w:val="0"/>
        </w:rPr>
        <w:t>Confidential, personal, or restricted data entered into an unapproved tool or exposed through AI.</w:t>
      </w:r>
    </w:p>
    <w:p>
      <w:pPr>
        <w:pStyle w:val="ListBullet"/>
        <w:spacing w:after="60"/>
      </w:pPr>
      <w:r>
        <w:rPr>
          <w:b w:val="0"/>
          <w:i w:val="0"/>
        </w:rPr>
        <w:t>AI output that caused, or nearly caused, harm, such as wrong information sent to a customer, a biased outcome, or an unauthorized transaction.</w:t>
      </w:r>
    </w:p>
    <w:p>
      <w:pPr>
        <w:pStyle w:val="ListBullet"/>
        <w:spacing w:after="60"/>
      </w:pPr>
      <w:r>
        <w:rPr>
          <w:b w:val="0"/>
          <w:i w:val="0"/>
        </w:rPr>
        <w:t>An AI agent acting outside its intended scope.</w:t>
      </w:r>
    </w:p>
    <w:p>
      <w:pPr>
        <w:pStyle w:val="ListBullet"/>
        <w:spacing w:after="60"/>
      </w:pPr>
      <w:r>
        <w:rPr>
          <w:b w:val="0"/>
          <w:i w:val="0"/>
        </w:rPr>
        <w:t>Suspected manipulation of an AI system, such as prompt injection.</w:t>
      </w:r>
    </w:p>
    <w:p>
      <w:r>
        <w:rPr>
          <w:b w:val="0"/>
          <w:i w:val="0"/>
        </w:rPr>
        <w:t xml:space="preserve">Good-faith reports will not result in retaliation. Data incidents also follow our </w:t>
      </w:r>
      <w:r>
        <w:rPr>
          <w:b/>
          <w:i w:val="0"/>
          <w:color w:val="1565C0"/>
        </w:rPr>
        <w:t>[Incident Response Plan]</w:t>
      </w:r>
      <w:r>
        <w:rPr>
          <w:b w:val="0"/>
          <w:i w:val="0"/>
        </w:rPr>
        <w:t>.</w:t>
      </w:r>
    </w:p>
    <w:p>
      <w:pPr>
        <w:pStyle w:val="Heading1"/>
      </w:pPr>
      <w:r>
        <w:t>18. Training</w:t>
      </w:r>
    </w:p>
    <w:p>
      <w:pPr>
        <w:pStyle w:val="ListBullet"/>
        <w:spacing w:after="60"/>
      </w:pPr>
      <w:r>
        <w:rPr>
          <w:b w:val="0"/>
          <w:i w:val="0"/>
        </w:rPr>
        <w:t xml:space="preserve">All workforce members complete AI acceptable use training </w:t>
      </w:r>
      <w:r>
        <w:rPr>
          <w:b/>
          <w:i w:val="0"/>
          <w:color w:val="1565C0"/>
        </w:rPr>
        <w:t>[within 30 days of hire and annually]</w:t>
      </w:r>
      <w:r>
        <w:rPr>
          <w:b w:val="0"/>
          <w:i w:val="0"/>
        </w:rPr>
        <w:t>.</w:t>
      </w:r>
    </w:p>
    <w:p>
      <w:pPr>
        <w:pStyle w:val="ListBullet"/>
        <w:spacing w:after="60"/>
      </w:pPr>
      <w:r>
        <w:rPr>
          <w:b w:val="0"/>
          <w:i w:val="0"/>
        </w:rPr>
        <w:t>System owners and reviewers of Tier 2 and Tier 3 systems complete additional role-based training.</w:t>
      </w:r>
    </w:p>
    <w:p>
      <w:pPr>
        <w:pStyle w:val="ListBullet"/>
        <w:spacing w:after="60"/>
      </w:pPr>
      <w:r>
        <w:rPr>
          <w:b w:val="0"/>
          <w:i w:val="0"/>
        </w:rPr>
        <w:t xml:space="preserve">Leadership receives a briefing on AI risk, strategy, and regulatory developments </w:t>
      </w:r>
      <w:r>
        <w:rPr>
          <w:b/>
          <w:i w:val="0"/>
          <w:color w:val="1565C0"/>
        </w:rPr>
        <w:t>[annually]</w:t>
      </w:r>
      <w:r>
        <w:rPr>
          <w:b w:val="0"/>
          <w:i w:val="0"/>
        </w:rPr>
        <w:t>.</w:t>
      </w:r>
    </w:p>
    <w:p>
      <w:pPr>
        <w:pStyle w:val="Heading1"/>
      </w:pPr>
      <w:r>
        <w:t>19. Compliance and Enforcement</w:t>
      </w:r>
    </w:p>
    <w:p>
      <w:r>
        <w:rPr>
          <w:b w:val="0"/>
          <w:i w:val="0"/>
        </w:rPr>
        <w:t xml:space="preserve">Violations of this policy may result in loss of access to AI tools and disciplinary action, up to and including termination of employment or contract, in line with </w:t>
      </w:r>
      <w:r>
        <w:rPr>
          <w:b/>
          <w:i w:val="0"/>
          <w:color w:val="1565C0"/>
        </w:rPr>
        <w:t>[Company Name]</w:t>
      </w:r>
      <w:r>
        <w:rPr>
          <w:b w:val="0"/>
          <w:i w:val="0"/>
        </w:rPr>
        <w:t>'s disciplinary policy and applicable law.</w:t>
      </w:r>
    </w:p>
    <w:p>
      <w:pPr>
        <w:pStyle w:val="Heading1"/>
      </w:pPr>
      <w:r>
        <w:t>20. Exceptions</w:t>
      </w:r>
    </w:p>
    <w:p>
      <w:r>
        <w:rPr>
          <w:b w:val="0"/>
          <w:i w:val="0"/>
        </w:rPr>
        <w:t xml:space="preserve">Exceptions must be requested in writing from the AI Governance Lead, documented with the business reason, risk assessment, compensating controls, and expiration date, and approved by </w:t>
      </w:r>
      <w:r>
        <w:rPr>
          <w:b/>
          <w:i w:val="0"/>
          <w:color w:val="1565C0"/>
        </w:rPr>
        <w:t>[the AI Review Group / Executive sponsor]</w:t>
      </w:r>
      <w:r>
        <w:rPr>
          <w:b w:val="0"/>
          <w:i w:val="0"/>
        </w:rPr>
        <w:t>.</w:t>
      </w:r>
    </w:p>
    <w:p>
      <w:pPr>
        <w:pStyle w:val="Heading1"/>
      </w:pPr>
      <w:r>
        <w:t>21. Policy Review</w:t>
      </w:r>
    </w:p>
    <w:p>
      <w:r>
        <w:rPr>
          <w:b w:val="0"/>
          <w:i w:val="0"/>
        </w:rPr>
        <w:t xml:space="preserve">The AI Governance Lead reviews this policy at least </w:t>
      </w:r>
      <w:r>
        <w:rPr>
          <w:b/>
          <w:i w:val="0"/>
          <w:color w:val="1565C0"/>
        </w:rPr>
        <w:t>[annually]</w:t>
      </w:r>
      <w:r>
        <w:rPr>
          <w:b w:val="0"/>
          <w:i w:val="0"/>
        </w:rPr>
        <w:t>, and sooner when new laws, major new AI capabilities, significant incidents, or business changes call for it. Material changes are communicated to all workforce members.</w:t>
      </w:r>
    </w:p>
    <w:p>
      <w:r>
        <w:br w:type="page"/>
      </w:r>
    </w:p>
    <w:p>
      <w:pPr>
        <w:pStyle w:val="Heading1"/>
      </w:pPr>
      <w:r>
        <w:t>Appendix A: AI Use-Case Intake Form</w:t>
      </w:r>
    </w:p>
    <w:p>
      <w:r>
        <w:rPr>
          <w:b w:val="0"/>
          <w:i w:val="0"/>
        </w:rPr>
        <w:t xml:space="preserve">Submit to </w:t>
      </w:r>
      <w:r>
        <w:rPr>
          <w:b/>
          <w:i w:val="0"/>
          <w:color w:val="1565C0"/>
        </w:rPr>
        <w:t>[AI Governance Lead / intake link]</w:t>
      </w:r>
      <w:r>
        <w:rPr>
          <w:b w:val="0"/>
          <w:i w:val="0"/>
        </w:rPr>
        <w:t xml:space="preserve"> before adopting a new AI tool or automating a workflow.</w:t>
      </w:r>
    </w:p>
    <w:tbl>
      <w:tblPr>
        <w:tblStyle w:val="TableGrid"/>
        <w:tblW w:type="auto" w:w="0"/>
        <w:jc w:val="center"/>
        <w:tblLayout w:type="fixed"/>
        <w:tblLook w:firstColumn="1" w:firstRow="1" w:lastColumn="0" w:lastRow="0" w:noHBand="0" w:noVBand="1" w:val="04A0"/>
      </w:tblPr>
      <w:tblGrid>
        <w:gridCol w:w="5184"/>
        <w:gridCol w:w="4176"/>
      </w:tblGrid>
      <w:tr>
        <w:trPr>
          <w:tblHeader/>
          <w:cantSplit/>
        </w:trPr>
        <w:tc>
          <w:tcPr>
            <w:tcW w:type="dxa" w:w="5184"/>
            <w:shd w:val="clear" w:color="auto" w:fill="1565C0"/>
          </w:tcPr>
          <w:p>
            <w:r/>
            <w:r>
              <w:rPr>
                <w:b/>
                <w:color w:val="FFFFFF"/>
                <w:sz w:val="20"/>
              </w:rPr>
              <w:t>Question</w:t>
            </w:r>
          </w:p>
        </w:tc>
        <w:tc>
          <w:tcPr>
            <w:tcW w:type="dxa" w:w="4176"/>
            <w:shd w:val="clear" w:color="auto" w:fill="1565C0"/>
          </w:tcPr>
          <w:p>
            <w:r/>
            <w:r>
              <w:rPr>
                <w:b/>
                <w:color w:val="FFFFFF"/>
                <w:sz w:val="20"/>
              </w:rPr>
              <w:t>Response</w:t>
            </w:r>
          </w:p>
        </w:tc>
      </w:tr>
      <w:tr>
        <w:trPr>
          <w:cantSplit/>
        </w:trPr>
        <w:tc>
          <w:tcPr>
            <w:tcW w:type="dxa" w:w="5184"/>
          </w:tcPr>
          <w:p>
            <w:pPr>
              <w:spacing w:after="0"/>
            </w:pPr>
            <w:r/>
            <w:r>
              <w:rPr>
                <w:b w:val="0"/>
                <w:i w:val="0"/>
                <w:sz w:val="20"/>
              </w:rPr>
              <w:t>Requester name, team, and date</w:t>
            </w:r>
          </w:p>
        </w:tc>
        <w:tc>
          <w:tcPr>
            <w:tcW w:type="dxa" w:w="4176"/>
          </w:tcPr>
          <w:p>
            <w:pPr>
              <w:spacing w:after="0"/>
            </w:pPr>
            <w:r/>
          </w:p>
        </w:tc>
      </w:tr>
      <w:tr>
        <w:trPr>
          <w:cantSplit/>
        </w:trPr>
        <w:tc>
          <w:tcPr>
            <w:tcW w:type="dxa" w:w="5184"/>
            <w:shd w:val="clear" w:color="auto" w:fill="EEF5FD"/>
          </w:tcPr>
          <w:p>
            <w:pPr>
              <w:spacing w:after="0"/>
            </w:pPr>
            <w:r/>
            <w:r>
              <w:rPr>
                <w:b w:val="0"/>
                <w:i w:val="0"/>
                <w:sz w:val="20"/>
              </w:rPr>
              <w:t>What problem will AI solve? What's the expected benefit (hours, cost, quality)?</w:t>
            </w:r>
          </w:p>
        </w:tc>
        <w:tc>
          <w:tcPr>
            <w:tcW w:type="dxa" w:w="4176"/>
            <w:shd w:val="clear" w:color="auto" w:fill="EEF5FD"/>
          </w:tcPr>
          <w:p>
            <w:pPr>
              <w:spacing w:after="0"/>
            </w:pPr>
            <w:r/>
          </w:p>
        </w:tc>
      </w:tr>
      <w:tr>
        <w:trPr>
          <w:cantSplit/>
        </w:trPr>
        <w:tc>
          <w:tcPr>
            <w:tcW w:type="dxa" w:w="5184"/>
          </w:tcPr>
          <w:p>
            <w:pPr>
              <w:spacing w:after="0"/>
            </w:pPr>
            <w:r/>
            <w:r>
              <w:rPr>
                <w:b w:val="0"/>
                <w:i w:val="0"/>
                <w:sz w:val="20"/>
              </w:rPr>
              <w:t>Which AI tool or vendor? Is it already in the register?</w:t>
            </w:r>
          </w:p>
        </w:tc>
        <w:tc>
          <w:tcPr>
            <w:tcW w:type="dxa" w:w="4176"/>
          </w:tcPr>
          <w:p>
            <w:pPr>
              <w:spacing w:after="0"/>
            </w:pPr>
            <w:r/>
          </w:p>
        </w:tc>
      </w:tr>
      <w:tr>
        <w:trPr>
          <w:cantSplit/>
        </w:trPr>
        <w:tc>
          <w:tcPr>
            <w:tcW w:type="dxa" w:w="5184"/>
            <w:shd w:val="clear" w:color="auto" w:fill="EEF5FD"/>
          </w:tcPr>
          <w:p>
            <w:pPr>
              <w:spacing w:after="0"/>
            </w:pPr>
            <w:r/>
            <w:r>
              <w:rPr>
                <w:b w:val="0"/>
                <w:i w:val="0"/>
                <w:sz w:val="20"/>
              </w:rPr>
              <w:t>Who will use it, and how often?</w:t>
            </w:r>
          </w:p>
        </w:tc>
        <w:tc>
          <w:tcPr>
            <w:tcW w:type="dxa" w:w="4176"/>
            <w:shd w:val="clear" w:color="auto" w:fill="EEF5FD"/>
          </w:tcPr>
          <w:p>
            <w:pPr>
              <w:spacing w:after="0"/>
            </w:pPr>
            <w:r/>
          </w:p>
        </w:tc>
      </w:tr>
      <w:tr>
        <w:trPr>
          <w:cantSplit/>
        </w:trPr>
        <w:tc>
          <w:tcPr>
            <w:tcW w:type="dxa" w:w="5184"/>
          </w:tcPr>
          <w:p>
            <w:pPr>
              <w:spacing w:after="0"/>
            </w:pPr>
            <w:r/>
            <w:r>
              <w:rPr>
                <w:b w:val="0"/>
                <w:i w:val="0"/>
                <w:sz w:val="20"/>
              </w:rPr>
              <w:t>What data will it use? (Public / Internal / Confidential / Personal / Restricted)</w:t>
            </w:r>
          </w:p>
        </w:tc>
        <w:tc>
          <w:tcPr>
            <w:tcW w:type="dxa" w:w="4176"/>
          </w:tcPr>
          <w:p>
            <w:pPr>
              <w:spacing w:after="0"/>
            </w:pPr>
            <w:r/>
          </w:p>
        </w:tc>
      </w:tr>
      <w:tr>
        <w:trPr>
          <w:cantSplit/>
        </w:trPr>
        <w:tc>
          <w:tcPr>
            <w:tcW w:type="dxa" w:w="5184"/>
            <w:shd w:val="clear" w:color="auto" w:fill="EEF5FD"/>
          </w:tcPr>
          <w:p>
            <w:pPr>
              <w:spacing w:after="0"/>
            </w:pPr>
            <w:r/>
            <w:r>
              <w:rPr>
                <w:b w:val="0"/>
                <w:i w:val="0"/>
                <w:sz w:val="20"/>
              </w:rPr>
              <w:t>Will output reach customers, the public, or regulators?</w:t>
            </w:r>
          </w:p>
        </w:tc>
        <w:tc>
          <w:tcPr>
            <w:tcW w:type="dxa" w:w="4176"/>
            <w:shd w:val="clear" w:color="auto" w:fill="EEF5FD"/>
          </w:tcPr>
          <w:p>
            <w:pPr>
              <w:spacing w:after="0"/>
            </w:pPr>
            <w:r/>
          </w:p>
        </w:tc>
      </w:tr>
      <w:tr>
        <w:trPr>
          <w:cantSplit/>
        </w:trPr>
        <w:tc>
          <w:tcPr>
            <w:tcW w:type="dxa" w:w="5184"/>
          </w:tcPr>
          <w:p>
            <w:pPr>
              <w:spacing w:after="0"/>
            </w:pPr>
            <w:r/>
            <w:r>
              <w:rPr>
                <w:b w:val="0"/>
                <w:i w:val="0"/>
                <w:sz w:val="20"/>
              </w:rPr>
              <w:t>Will it take actions on its own (send, update, buy, delete)? Which systems will it access?</w:t>
            </w:r>
          </w:p>
        </w:tc>
        <w:tc>
          <w:tcPr>
            <w:tcW w:type="dxa" w:w="4176"/>
          </w:tcPr>
          <w:p>
            <w:pPr>
              <w:spacing w:after="0"/>
            </w:pPr>
            <w:r/>
          </w:p>
        </w:tc>
      </w:tr>
      <w:tr>
        <w:trPr>
          <w:cantSplit/>
        </w:trPr>
        <w:tc>
          <w:tcPr>
            <w:tcW w:type="dxa" w:w="5184"/>
            <w:shd w:val="clear" w:color="auto" w:fill="EEF5FD"/>
          </w:tcPr>
          <w:p>
            <w:pPr>
              <w:spacing w:after="0"/>
            </w:pPr>
            <w:r/>
            <w:r>
              <w:rPr>
                <w:b w:val="0"/>
                <w:i w:val="0"/>
                <w:sz w:val="20"/>
              </w:rPr>
              <w:t>Could it affect someone's employment, credit, housing, health, or legal rights?</w:t>
            </w:r>
          </w:p>
        </w:tc>
        <w:tc>
          <w:tcPr>
            <w:tcW w:type="dxa" w:w="4176"/>
            <w:shd w:val="clear" w:color="auto" w:fill="EEF5FD"/>
          </w:tcPr>
          <w:p>
            <w:pPr>
              <w:spacing w:after="0"/>
            </w:pPr>
            <w:r/>
          </w:p>
        </w:tc>
      </w:tr>
      <w:tr>
        <w:trPr>
          <w:cantSplit/>
        </w:trPr>
        <w:tc>
          <w:tcPr>
            <w:tcW w:type="dxa" w:w="5184"/>
          </w:tcPr>
          <w:p>
            <w:pPr>
              <w:spacing w:after="0"/>
            </w:pPr>
            <w:r/>
            <w:r>
              <w:rPr>
                <w:b w:val="0"/>
                <w:i w:val="0"/>
                <w:sz w:val="20"/>
              </w:rPr>
              <w:t>Who reviews output, and at what point does a person approve?</w:t>
            </w:r>
          </w:p>
        </w:tc>
        <w:tc>
          <w:tcPr>
            <w:tcW w:type="dxa" w:w="4176"/>
          </w:tcPr>
          <w:p>
            <w:pPr>
              <w:spacing w:after="0"/>
            </w:pPr>
            <w:r/>
          </w:p>
        </w:tc>
      </w:tr>
      <w:tr>
        <w:trPr>
          <w:cantSplit/>
        </w:trPr>
        <w:tc>
          <w:tcPr>
            <w:tcW w:type="dxa" w:w="5184"/>
            <w:shd w:val="clear" w:color="auto" w:fill="EEF5FD"/>
          </w:tcPr>
          <w:p>
            <w:pPr>
              <w:spacing w:after="0"/>
            </w:pPr>
            <w:r/>
            <w:r>
              <w:rPr>
                <w:b w:val="0"/>
                <w:i w:val="0"/>
                <w:sz w:val="20"/>
              </w:rPr>
              <w:t>Proposed system owner</w:t>
            </w:r>
          </w:p>
        </w:tc>
        <w:tc>
          <w:tcPr>
            <w:tcW w:type="dxa" w:w="4176"/>
            <w:shd w:val="clear" w:color="auto" w:fill="EEF5FD"/>
          </w:tcPr>
          <w:p>
            <w:pPr>
              <w:spacing w:after="0"/>
            </w:pPr>
            <w:r/>
          </w:p>
        </w:tc>
      </w:tr>
      <w:tr>
        <w:trPr>
          <w:cantSplit/>
        </w:trPr>
        <w:tc>
          <w:tcPr>
            <w:tcW w:type="dxa" w:w="5184"/>
          </w:tcPr>
          <w:p>
            <w:pPr>
              <w:spacing w:after="0"/>
            </w:pPr>
            <w:r/>
            <w:r>
              <w:rPr>
                <w:b w:val="0"/>
                <w:i w:val="0"/>
                <w:sz w:val="20"/>
              </w:rPr>
              <w:t>Proposed risk tier (Governance Lead confirms)</w:t>
            </w:r>
          </w:p>
        </w:tc>
        <w:tc>
          <w:tcPr>
            <w:tcW w:type="dxa" w:w="4176"/>
          </w:tcPr>
          <w:p>
            <w:pPr>
              <w:spacing w:after="0"/>
            </w:pPr>
            <w:r/>
          </w:p>
        </w:tc>
      </w:tr>
      <w:tr>
        <w:trPr>
          <w:cantSplit/>
        </w:trPr>
        <w:tc>
          <w:tcPr>
            <w:tcW w:type="dxa" w:w="5184"/>
            <w:shd w:val="clear" w:color="auto" w:fill="EEF5FD"/>
          </w:tcPr>
          <w:p>
            <w:pPr>
              <w:spacing w:after="0"/>
            </w:pPr>
            <w:r/>
            <w:r>
              <w:rPr>
                <w:b w:val="0"/>
                <w:i w:val="0"/>
                <w:sz w:val="20"/>
              </w:rPr>
              <w:t>Decision, conditions, approver, and date</w:t>
            </w:r>
          </w:p>
        </w:tc>
        <w:tc>
          <w:tcPr>
            <w:tcW w:type="dxa" w:w="4176"/>
            <w:shd w:val="clear" w:color="auto" w:fill="EEF5FD"/>
          </w:tcPr>
          <w:p>
            <w:pPr>
              <w:spacing w:after="0"/>
            </w:pPr>
            <w:r/>
          </w:p>
        </w:tc>
      </w:tr>
    </w:tbl>
    <w:p>
      <w:pPr>
        <w:spacing w:after="40"/>
      </w:pPr>
    </w:p>
    <w:p>
      <w:pPr>
        <w:pStyle w:val="Heading1"/>
      </w:pPr>
      <w:r>
        <w:t>Appendix B: AI Tool Register</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cantSplit/>
        </w:trPr>
        <w:tc>
          <w:tcPr>
            <w:tcW w:type="dxa" w:w="1337"/>
            <w:shd w:val="clear" w:color="auto" w:fill="1565C0"/>
          </w:tcPr>
          <w:p>
            <w:r/>
            <w:r>
              <w:rPr>
                <w:b/>
                <w:color w:val="FFFFFF"/>
                <w:sz w:val="20"/>
              </w:rPr>
              <w:t>Tool / system</w:t>
            </w:r>
          </w:p>
        </w:tc>
        <w:tc>
          <w:tcPr>
            <w:tcW w:type="dxa" w:w="1337"/>
            <w:shd w:val="clear" w:color="auto" w:fill="1565C0"/>
          </w:tcPr>
          <w:p>
            <w:r/>
            <w:r>
              <w:rPr>
                <w:b/>
                <w:color w:val="FFFFFF"/>
                <w:sz w:val="20"/>
              </w:rPr>
              <w:t>Purpose</w:t>
            </w:r>
          </w:p>
        </w:tc>
        <w:tc>
          <w:tcPr>
            <w:tcW w:type="dxa" w:w="1337"/>
            <w:shd w:val="clear" w:color="auto" w:fill="1565C0"/>
          </w:tcPr>
          <w:p>
            <w:r/>
            <w:r>
              <w:rPr>
                <w:b/>
                <w:color w:val="FFFFFF"/>
                <w:sz w:val="20"/>
              </w:rPr>
              <w:t>Owner</w:t>
            </w:r>
          </w:p>
        </w:tc>
        <w:tc>
          <w:tcPr>
            <w:tcW w:type="dxa" w:w="1337"/>
            <w:shd w:val="clear" w:color="auto" w:fill="1565C0"/>
          </w:tcPr>
          <w:p>
            <w:r/>
            <w:r>
              <w:rPr>
                <w:b/>
                <w:color w:val="FFFFFF"/>
                <w:sz w:val="20"/>
              </w:rPr>
              <w:t>Status</w:t>
            </w:r>
          </w:p>
        </w:tc>
        <w:tc>
          <w:tcPr>
            <w:tcW w:type="dxa" w:w="1337"/>
            <w:shd w:val="clear" w:color="auto" w:fill="1565C0"/>
          </w:tcPr>
          <w:p>
            <w:r/>
            <w:r>
              <w:rPr>
                <w:b/>
                <w:color w:val="FFFFFF"/>
                <w:sz w:val="20"/>
              </w:rPr>
              <w:t>Max data class</w:t>
            </w:r>
          </w:p>
        </w:tc>
        <w:tc>
          <w:tcPr>
            <w:tcW w:type="dxa" w:w="1337"/>
            <w:shd w:val="clear" w:color="auto" w:fill="1565C0"/>
          </w:tcPr>
          <w:p>
            <w:r/>
            <w:r>
              <w:rPr>
                <w:b/>
                <w:color w:val="FFFFFF"/>
                <w:sz w:val="20"/>
              </w:rPr>
              <w:t>Risk tier</w:t>
            </w:r>
          </w:p>
        </w:tc>
        <w:tc>
          <w:tcPr>
            <w:tcW w:type="dxa" w:w="1337"/>
            <w:shd w:val="clear" w:color="auto" w:fill="1565C0"/>
          </w:tcPr>
          <w:p>
            <w:r/>
            <w:r>
              <w:rPr>
                <w:b/>
                <w:color w:val="FFFFFF"/>
                <w:sz w:val="20"/>
              </w:rPr>
              <w:t>Next review</w:t>
            </w:r>
          </w:p>
        </w:tc>
      </w:tr>
      <w:tr>
        <w:trPr>
          <w:cantSplit/>
        </w:trPr>
        <w:tc>
          <w:tcPr>
            <w:tcW w:type="dxa" w:w="1337"/>
          </w:tcPr>
          <w:p>
            <w:pPr>
              <w:spacing w:after="0"/>
            </w:pPr>
            <w:r/>
            <w:r>
              <w:rPr>
                <w:b/>
                <w:i w:val="0"/>
                <w:color w:val="1565C0"/>
                <w:sz w:val="20"/>
              </w:rPr>
              <w:t>[Example: Enterprise AI assistant]</w:t>
            </w:r>
          </w:p>
        </w:tc>
        <w:tc>
          <w:tcPr>
            <w:tcW w:type="dxa" w:w="1337"/>
          </w:tcPr>
          <w:p>
            <w:pPr>
              <w:spacing w:after="0"/>
            </w:pPr>
            <w:r/>
            <w:r>
              <w:rPr>
                <w:b/>
                <w:i w:val="0"/>
                <w:color w:val="1565C0"/>
                <w:sz w:val="20"/>
              </w:rPr>
              <w:t>[General productivity]</w:t>
            </w:r>
          </w:p>
        </w:tc>
        <w:tc>
          <w:tcPr>
            <w:tcW w:type="dxa" w:w="1337"/>
          </w:tcPr>
          <w:p>
            <w:pPr>
              <w:spacing w:after="0"/>
            </w:pPr>
            <w:r/>
            <w:r>
              <w:rPr>
                <w:b/>
                <w:i w:val="0"/>
                <w:color w:val="1565C0"/>
                <w:sz w:val="20"/>
              </w:rPr>
              <w:t>[IT]</w:t>
            </w:r>
          </w:p>
        </w:tc>
        <w:tc>
          <w:tcPr>
            <w:tcW w:type="dxa" w:w="1337"/>
          </w:tcPr>
          <w:p>
            <w:pPr>
              <w:spacing w:after="0"/>
            </w:pPr>
            <w:r/>
            <w:r>
              <w:rPr>
                <w:b w:val="0"/>
                <w:i w:val="0"/>
                <w:sz w:val="20"/>
              </w:rPr>
              <w:t>Approved</w:t>
            </w:r>
          </w:p>
        </w:tc>
        <w:tc>
          <w:tcPr>
            <w:tcW w:type="dxa" w:w="1337"/>
          </w:tcPr>
          <w:p>
            <w:pPr>
              <w:spacing w:after="0"/>
            </w:pPr>
            <w:r/>
            <w:r>
              <w:rPr>
                <w:b w:val="0"/>
                <w:i w:val="0"/>
                <w:sz w:val="20"/>
              </w:rPr>
              <w:t>Confidential</w:t>
            </w:r>
          </w:p>
        </w:tc>
        <w:tc>
          <w:tcPr>
            <w:tcW w:type="dxa" w:w="1337"/>
          </w:tcPr>
          <w:p>
            <w:pPr>
              <w:spacing w:after="0"/>
            </w:pPr>
            <w:r/>
            <w:r>
              <w:rPr>
                <w:b w:val="0"/>
                <w:i w:val="0"/>
                <w:sz w:val="20"/>
              </w:rPr>
              <w:t>Tier 1</w:t>
            </w:r>
          </w:p>
        </w:tc>
        <w:tc>
          <w:tcPr>
            <w:tcW w:type="dxa" w:w="1337"/>
          </w:tcPr>
          <w:p>
            <w:pPr>
              <w:spacing w:after="0"/>
            </w:pPr>
            <w:r/>
            <w:r>
              <w:rPr>
                <w:b/>
                <w:i w:val="0"/>
                <w:color w:val="1565C0"/>
                <w:sz w:val="20"/>
              </w:rPr>
              <w:t>[Date]</w:t>
            </w:r>
          </w:p>
        </w:tc>
      </w:tr>
      <w:tr>
        <w:trPr>
          <w:cantSplit/>
        </w:trPr>
        <w:tc>
          <w:tcPr>
            <w:tcW w:type="dxa" w:w="1337"/>
            <w:shd w:val="clear" w:color="auto" w:fill="EEF5FD"/>
          </w:tcPr>
          <w:p>
            <w:pPr>
              <w:spacing w:after="0"/>
            </w:pPr>
            <w:r/>
            <w:r>
              <w:rPr>
                <w:b/>
                <w:i w:val="0"/>
                <w:color w:val="1565C0"/>
                <w:sz w:val="20"/>
              </w:rPr>
              <w:t>[Example: Support chatbot]</w:t>
            </w:r>
          </w:p>
        </w:tc>
        <w:tc>
          <w:tcPr>
            <w:tcW w:type="dxa" w:w="1337"/>
            <w:shd w:val="clear" w:color="auto" w:fill="EEF5FD"/>
          </w:tcPr>
          <w:p>
            <w:pPr>
              <w:spacing w:after="0"/>
            </w:pPr>
            <w:r/>
            <w:r>
              <w:rPr>
                <w:b/>
                <w:i w:val="0"/>
                <w:color w:val="1565C0"/>
                <w:sz w:val="20"/>
              </w:rPr>
              <w:t>[Answer routine customer questions]</w:t>
            </w:r>
          </w:p>
        </w:tc>
        <w:tc>
          <w:tcPr>
            <w:tcW w:type="dxa" w:w="1337"/>
            <w:shd w:val="clear" w:color="auto" w:fill="EEF5FD"/>
          </w:tcPr>
          <w:p>
            <w:pPr>
              <w:spacing w:after="0"/>
            </w:pPr>
            <w:r/>
            <w:r>
              <w:rPr>
                <w:b/>
                <w:i w:val="0"/>
                <w:color w:val="1565C0"/>
                <w:sz w:val="20"/>
              </w:rPr>
              <w:t>[Support Lead]</w:t>
            </w:r>
          </w:p>
        </w:tc>
        <w:tc>
          <w:tcPr>
            <w:tcW w:type="dxa" w:w="1337"/>
            <w:shd w:val="clear" w:color="auto" w:fill="EEF5FD"/>
          </w:tcPr>
          <w:p>
            <w:pPr>
              <w:spacing w:after="0"/>
            </w:pPr>
            <w:r/>
            <w:r>
              <w:rPr>
                <w:b w:val="0"/>
                <w:i w:val="0"/>
                <w:sz w:val="20"/>
              </w:rPr>
              <w:t>Approved</w:t>
            </w:r>
          </w:p>
        </w:tc>
        <w:tc>
          <w:tcPr>
            <w:tcW w:type="dxa" w:w="1337"/>
            <w:shd w:val="clear" w:color="auto" w:fill="EEF5FD"/>
          </w:tcPr>
          <w:p>
            <w:pPr>
              <w:spacing w:after="0"/>
            </w:pPr>
            <w:r/>
            <w:r>
              <w:rPr>
                <w:b w:val="0"/>
                <w:i w:val="0"/>
                <w:sz w:val="20"/>
              </w:rPr>
              <w:t>Internal</w:t>
            </w:r>
          </w:p>
        </w:tc>
        <w:tc>
          <w:tcPr>
            <w:tcW w:type="dxa" w:w="1337"/>
            <w:shd w:val="clear" w:color="auto" w:fill="EEF5FD"/>
          </w:tcPr>
          <w:p>
            <w:pPr>
              <w:spacing w:after="0"/>
            </w:pPr>
            <w:r/>
            <w:r>
              <w:rPr>
                <w:b w:val="0"/>
                <w:i w:val="0"/>
                <w:sz w:val="20"/>
              </w:rPr>
              <w:t>Tier 2</w:t>
            </w:r>
          </w:p>
        </w:tc>
        <w:tc>
          <w:tcPr>
            <w:tcW w:type="dxa" w:w="1337"/>
            <w:shd w:val="clear" w:color="auto" w:fill="EEF5FD"/>
          </w:tcPr>
          <w:p>
            <w:pPr>
              <w:spacing w:after="0"/>
            </w:pPr>
            <w:r/>
            <w:r>
              <w:rPr>
                <w:b/>
                <w:i w:val="0"/>
                <w:color w:val="1565C0"/>
                <w:sz w:val="20"/>
              </w:rPr>
              <w:t>[Date]</w:t>
            </w:r>
          </w:p>
        </w:tc>
      </w:tr>
      <w:tr>
        <w:trPr>
          <w:cantSplit/>
        </w:trPr>
        <w:tc>
          <w:tcPr>
            <w:tcW w:type="dxa" w:w="1337"/>
          </w:tcPr>
          <w:p>
            <w:pPr>
              <w:spacing w:after="0"/>
            </w:pPr>
            <w:r/>
            <w:r>
              <w:rPr>
                <w:b/>
                <w:i w:val="0"/>
                <w:color w:val="1565C0"/>
                <w:sz w:val="20"/>
              </w:rPr>
              <w:t>[Example: Invoice processing agent]</w:t>
            </w:r>
          </w:p>
        </w:tc>
        <w:tc>
          <w:tcPr>
            <w:tcW w:type="dxa" w:w="1337"/>
          </w:tcPr>
          <w:p>
            <w:pPr>
              <w:spacing w:after="0"/>
            </w:pPr>
            <w:r/>
            <w:r>
              <w:rPr>
                <w:b/>
                <w:i w:val="0"/>
                <w:color w:val="1565C0"/>
                <w:sz w:val="20"/>
              </w:rPr>
              <w:t>[Extract and code vendor bills]</w:t>
            </w:r>
          </w:p>
        </w:tc>
        <w:tc>
          <w:tcPr>
            <w:tcW w:type="dxa" w:w="1337"/>
          </w:tcPr>
          <w:p>
            <w:pPr>
              <w:spacing w:after="0"/>
            </w:pPr>
            <w:r/>
            <w:r>
              <w:rPr>
                <w:b/>
                <w:i w:val="0"/>
                <w:color w:val="1565C0"/>
                <w:sz w:val="20"/>
              </w:rPr>
              <w:t>[Controller]</w:t>
            </w:r>
          </w:p>
        </w:tc>
        <w:tc>
          <w:tcPr>
            <w:tcW w:type="dxa" w:w="1337"/>
          </w:tcPr>
          <w:p>
            <w:pPr>
              <w:spacing w:after="0"/>
            </w:pPr>
            <w:r/>
            <w:r>
              <w:rPr>
                <w:b w:val="0"/>
                <w:i w:val="0"/>
                <w:sz w:val="20"/>
              </w:rPr>
              <w:t>Cond. approved</w:t>
            </w:r>
          </w:p>
        </w:tc>
        <w:tc>
          <w:tcPr>
            <w:tcW w:type="dxa" w:w="1337"/>
          </w:tcPr>
          <w:p>
            <w:pPr>
              <w:spacing w:after="0"/>
            </w:pPr>
            <w:r/>
            <w:r>
              <w:rPr>
                <w:b w:val="0"/>
                <w:i w:val="0"/>
                <w:sz w:val="20"/>
              </w:rPr>
              <w:t>Confidential</w:t>
            </w:r>
          </w:p>
        </w:tc>
        <w:tc>
          <w:tcPr>
            <w:tcW w:type="dxa" w:w="1337"/>
          </w:tcPr>
          <w:p>
            <w:pPr>
              <w:spacing w:after="0"/>
            </w:pPr>
            <w:r/>
            <w:r>
              <w:rPr>
                <w:b w:val="0"/>
                <w:i w:val="0"/>
                <w:sz w:val="20"/>
              </w:rPr>
              <w:t>Tier 3</w:t>
            </w:r>
          </w:p>
        </w:tc>
        <w:tc>
          <w:tcPr>
            <w:tcW w:type="dxa" w:w="1337"/>
          </w:tcPr>
          <w:p>
            <w:pPr>
              <w:spacing w:after="0"/>
            </w:pPr>
            <w:r/>
            <w:r>
              <w:rPr>
                <w:b/>
                <w:i w:val="0"/>
                <w:color w:val="1565C0"/>
                <w:sz w:val="20"/>
              </w:rPr>
              <w:t>[Date]</w:t>
            </w:r>
          </w:p>
        </w:tc>
      </w:tr>
      <w:tr>
        <w:trPr>
          <w:cantSplit/>
        </w:trPr>
        <w:tc>
          <w:tcPr>
            <w:tcW w:type="dxa" w:w="1337"/>
            <w:shd w:val="clear" w:color="auto" w:fill="EEF5FD"/>
          </w:tcPr>
          <w:p>
            <w:pPr>
              <w:spacing w:after="0"/>
            </w:pPr>
            <w:r/>
          </w:p>
        </w:tc>
        <w:tc>
          <w:tcPr>
            <w:tcW w:type="dxa" w:w="1337"/>
            <w:shd w:val="clear" w:color="auto" w:fill="EEF5FD"/>
          </w:tcPr>
          <w:p>
            <w:pPr>
              <w:spacing w:after="0"/>
            </w:pPr>
            <w:r/>
          </w:p>
        </w:tc>
        <w:tc>
          <w:tcPr>
            <w:tcW w:type="dxa" w:w="1337"/>
            <w:shd w:val="clear" w:color="auto" w:fill="EEF5FD"/>
          </w:tcPr>
          <w:p>
            <w:pPr>
              <w:spacing w:after="0"/>
            </w:pPr>
            <w:r/>
          </w:p>
        </w:tc>
        <w:tc>
          <w:tcPr>
            <w:tcW w:type="dxa" w:w="1337"/>
            <w:shd w:val="clear" w:color="auto" w:fill="EEF5FD"/>
          </w:tcPr>
          <w:p>
            <w:pPr>
              <w:spacing w:after="0"/>
            </w:pPr>
            <w:r/>
          </w:p>
        </w:tc>
        <w:tc>
          <w:tcPr>
            <w:tcW w:type="dxa" w:w="1337"/>
            <w:shd w:val="clear" w:color="auto" w:fill="EEF5FD"/>
          </w:tcPr>
          <w:p>
            <w:pPr>
              <w:spacing w:after="0"/>
            </w:pPr>
            <w:r/>
          </w:p>
        </w:tc>
        <w:tc>
          <w:tcPr>
            <w:tcW w:type="dxa" w:w="1337"/>
            <w:shd w:val="clear" w:color="auto" w:fill="EEF5FD"/>
          </w:tcPr>
          <w:p>
            <w:pPr>
              <w:spacing w:after="0"/>
            </w:pPr>
            <w:r/>
          </w:p>
        </w:tc>
        <w:tc>
          <w:tcPr>
            <w:tcW w:type="dxa" w:w="1337"/>
            <w:shd w:val="clear" w:color="auto" w:fill="EEF5FD"/>
          </w:tcPr>
          <w:p>
            <w:pPr>
              <w:spacing w:after="0"/>
            </w:pPr>
            <w:r/>
          </w:p>
        </w:tc>
      </w:tr>
      <w:tr>
        <w:trPr>
          <w:cantSplit/>
        </w:trPr>
        <w:tc>
          <w:tcPr>
            <w:tcW w:type="dxa" w:w="1337"/>
          </w:tcPr>
          <w:p>
            <w:pPr>
              <w:spacing w:after="0"/>
            </w:pPr>
            <w:r/>
          </w:p>
        </w:tc>
        <w:tc>
          <w:tcPr>
            <w:tcW w:type="dxa" w:w="1337"/>
          </w:tcPr>
          <w:p>
            <w:pPr>
              <w:spacing w:after="0"/>
            </w:pPr>
            <w:r/>
          </w:p>
        </w:tc>
        <w:tc>
          <w:tcPr>
            <w:tcW w:type="dxa" w:w="1337"/>
          </w:tcPr>
          <w:p>
            <w:pPr>
              <w:spacing w:after="0"/>
            </w:pPr>
            <w:r/>
          </w:p>
        </w:tc>
        <w:tc>
          <w:tcPr>
            <w:tcW w:type="dxa" w:w="1337"/>
          </w:tcPr>
          <w:p>
            <w:pPr>
              <w:spacing w:after="0"/>
            </w:pPr>
            <w:r/>
          </w:p>
        </w:tc>
        <w:tc>
          <w:tcPr>
            <w:tcW w:type="dxa" w:w="1337"/>
          </w:tcPr>
          <w:p>
            <w:pPr>
              <w:spacing w:after="0"/>
            </w:pPr>
            <w:r/>
          </w:p>
        </w:tc>
        <w:tc>
          <w:tcPr>
            <w:tcW w:type="dxa" w:w="1337"/>
          </w:tcPr>
          <w:p>
            <w:pPr>
              <w:spacing w:after="0"/>
            </w:pPr>
            <w:r/>
          </w:p>
        </w:tc>
        <w:tc>
          <w:tcPr>
            <w:tcW w:type="dxa" w:w="1337"/>
          </w:tcPr>
          <w:p>
            <w:pPr>
              <w:spacing w:after="0"/>
            </w:pPr>
            <w:r/>
          </w:p>
        </w:tc>
      </w:tr>
    </w:tbl>
    <w:p>
      <w:pPr>
        <w:spacing w:after="40"/>
      </w:pPr>
    </w:p>
    <w:p>
      <w:pPr>
        <w:pStyle w:val="Heading1"/>
      </w:pPr>
      <w:r>
        <w:t>Appendix C: Employee Acknowledgment</w:t>
      </w:r>
    </w:p>
    <w:p>
      <w:r>
        <w:rPr>
          <w:b w:val="0"/>
          <w:i w:val="0"/>
        </w:rPr>
        <w:t xml:space="preserve">I have read and understand the </w:t>
      </w:r>
      <w:r>
        <w:rPr>
          <w:b/>
          <w:i w:val="0"/>
          <w:color w:val="1565C0"/>
        </w:rPr>
        <w:t>[Company Name]</w:t>
      </w:r>
      <w:r>
        <w:rPr>
          <w:b w:val="0"/>
          <w:i w:val="0"/>
        </w:rPr>
        <w:t xml:space="preserve"> AI Acceptable Use Policy. I agree to follow it, to complete required training, and to report AI incidents promptly. I understand that violations may result in disciplinary action.</w:t>
      </w:r>
    </w:p>
    <w:p>
      <w:pPr>
        <w:spacing w:after="200"/>
      </w:pPr>
      <w:r>
        <w:rPr>
          <w:b w:val="0"/>
          <w:i w:val="0"/>
        </w:rPr>
        <w:t>Name: ______________________________________________</w:t>
      </w:r>
    </w:p>
    <w:p>
      <w:pPr>
        <w:spacing w:after="200"/>
      </w:pPr>
      <w:r>
        <w:rPr>
          <w:b w:val="0"/>
          <w:i w:val="0"/>
        </w:rPr>
        <w:t>Title / Team: ______________________________________________</w:t>
      </w:r>
    </w:p>
    <w:p>
      <w:pPr>
        <w:spacing w:after="200"/>
      </w:pPr>
      <w:r>
        <w:rPr>
          <w:b w:val="0"/>
          <w:i w:val="0"/>
        </w:rPr>
        <w:t>Signature: ______________________________________________</w:t>
      </w:r>
    </w:p>
    <w:p>
      <w:pPr>
        <w:spacing w:after="200"/>
      </w:pPr>
      <w:r>
        <w:rPr>
          <w:b w:val="0"/>
          <w:i w:val="0"/>
        </w:rPr>
        <w:t>Date: ______________________________________________</w:t>
      </w:r>
    </w:p>
    <w:p>
      <w:pPr>
        <w:pStyle w:val="Heading1"/>
      </w:pPr>
      <w:r>
        <w:t>Appendix D: Framework Crosswalk</w:t>
      </w:r>
    </w:p>
    <w:p>
      <w:pPr>
        <w:spacing w:after="80"/>
      </w:pPr>
      <w:r>
        <w:rPr>
          <w:b w:val="0"/>
          <w:i w:val="0"/>
        </w:rPr>
        <w:t>How this policy maps to the NIST AI Risk Management Framework (AI RMF 1.0):</w:t>
      </w:r>
    </w:p>
    <w:tbl>
      <w:tblPr>
        <w:tblStyle w:val="TableGrid"/>
        <w:tblW w:type="auto" w:w="0"/>
        <w:jc w:val="center"/>
        <w:tblLayout w:type="fixed"/>
        <w:tblLook w:firstColumn="1" w:firstRow="1" w:lastColumn="0" w:lastRow="0" w:noHBand="0" w:noVBand="1" w:val="04A0"/>
      </w:tblPr>
      <w:tblGrid>
        <w:gridCol w:w="2304"/>
        <w:gridCol w:w="4320"/>
        <w:gridCol w:w="2736"/>
      </w:tblGrid>
      <w:tr>
        <w:trPr>
          <w:tblHeader/>
          <w:cantSplit/>
        </w:trPr>
        <w:tc>
          <w:tcPr>
            <w:tcW w:type="dxa" w:w="2304"/>
            <w:shd w:val="clear" w:color="auto" w:fill="1565C0"/>
          </w:tcPr>
          <w:p>
            <w:r/>
            <w:r>
              <w:rPr>
                <w:b/>
                <w:color w:val="FFFFFF"/>
                <w:sz w:val="20"/>
              </w:rPr>
              <w:t>NIST AI RMF function</w:t>
            </w:r>
          </w:p>
        </w:tc>
        <w:tc>
          <w:tcPr>
            <w:tcW w:type="dxa" w:w="4320"/>
            <w:shd w:val="clear" w:color="auto" w:fill="1565C0"/>
          </w:tcPr>
          <w:p>
            <w:r/>
            <w:r>
              <w:rPr>
                <w:b/>
                <w:color w:val="FFFFFF"/>
                <w:sz w:val="20"/>
              </w:rPr>
              <w:t>What it covers</w:t>
            </w:r>
          </w:p>
        </w:tc>
        <w:tc>
          <w:tcPr>
            <w:tcW w:type="dxa" w:w="2736"/>
            <w:shd w:val="clear" w:color="auto" w:fill="1565C0"/>
          </w:tcPr>
          <w:p>
            <w:r/>
            <w:r>
              <w:rPr>
                <w:b/>
                <w:color w:val="FFFFFF"/>
                <w:sz w:val="20"/>
              </w:rPr>
              <w:t>Policy sections</w:t>
            </w:r>
          </w:p>
        </w:tc>
      </w:tr>
      <w:tr>
        <w:trPr>
          <w:cantSplit/>
        </w:trPr>
        <w:tc>
          <w:tcPr>
            <w:tcW w:type="dxa" w:w="2304"/>
          </w:tcPr>
          <w:p>
            <w:pPr>
              <w:spacing w:after="0"/>
            </w:pPr>
            <w:r/>
            <w:r>
              <w:rPr>
                <w:b w:val="0"/>
                <w:i w:val="0"/>
                <w:sz w:val="20"/>
              </w:rPr>
              <w:t>Govern</w:t>
            </w:r>
          </w:p>
        </w:tc>
        <w:tc>
          <w:tcPr>
            <w:tcW w:type="dxa" w:w="4320"/>
          </w:tcPr>
          <w:p>
            <w:pPr>
              <w:spacing w:after="0"/>
            </w:pPr>
            <w:r/>
            <w:r>
              <w:rPr>
                <w:b w:val="0"/>
                <w:i w:val="0"/>
                <w:sz w:val="20"/>
              </w:rPr>
              <w:t>Culture, accountability, roles, policies, and oversight</w:t>
            </w:r>
          </w:p>
        </w:tc>
        <w:tc>
          <w:tcPr>
            <w:tcW w:type="dxa" w:w="2736"/>
          </w:tcPr>
          <w:p>
            <w:pPr>
              <w:spacing w:after="0"/>
            </w:pPr>
            <w:r/>
            <w:r>
              <w:rPr>
                <w:b w:val="0"/>
                <w:i w:val="0"/>
                <w:sz w:val="20"/>
              </w:rPr>
              <w:t>1, 2, 4, 5, 18, 19, 20, 21</w:t>
            </w:r>
          </w:p>
        </w:tc>
      </w:tr>
      <w:tr>
        <w:trPr>
          <w:cantSplit/>
        </w:trPr>
        <w:tc>
          <w:tcPr>
            <w:tcW w:type="dxa" w:w="2304"/>
            <w:shd w:val="clear" w:color="auto" w:fill="EEF5FD"/>
          </w:tcPr>
          <w:p>
            <w:pPr>
              <w:spacing w:after="0"/>
            </w:pPr>
            <w:r/>
            <w:r>
              <w:rPr>
                <w:b w:val="0"/>
                <w:i w:val="0"/>
                <w:sz w:val="20"/>
              </w:rPr>
              <w:t>Map</w:t>
            </w:r>
          </w:p>
        </w:tc>
        <w:tc>
          <w:tcPr>
            <w:tcW w:type="dxa" w:w="4320"/>
            <w:shd w:val="clear" w:color="auto" w:fill="EEF5FD"/>
          </w:tcPr>
          <w:p>
            <w:pPr>
              <w:spacing w:after="0"/>
            </w:pPr>
            <w:r/>
            <w:r>
              <w:rPr>
                <w:b w:val="0"/>
                <w:i w:val="0"/>
                <w:sz w:val="20"/>
              </w:rPr>
              <w:t>Context, intended use, and risk identification for each AI system</w:t>
            </w:r>
          </w:p>
        </w:tc>
        <w:tc>
          <w:tcPr>
            <w:tcW w:type="dxa" w:w="2736"/>
            <w:shd w:val="clear" w:color="auto" w:fill="EEF5FD"/>
          </w:tcPr>
          <w:p>
            <w:pPr>
              <w:spacing w:after="0"/>
            </w:pPr>
            <w:r/>
            <w:r>
              <w:rPr>
                <w:b w:val="0"/>
                <w:i w:val="0"/>
                <w:sz w:val="20"/>
              </w:rPr>
              <w:t>3, 6, 10, Appendix A, Appendix B</w:t>
            </w:r>
          </w:p>
        </w:tc>
      </w:tr>
      <w:tr>
        <w:trPr>
          <w:cantSplit/>
        </w:trPr>
        <w:tc>
          <w:tcPr>
            <w:tcW w:type="dxa" w:w="2304"/>
          </w:tcPr>
          <w:p>
            <w:pPr>
              <w:spacing w:after="0"/>
            </w:pPr>
            <w:r/>
            <w:r>
              <w:rPr>
                <w:b w:val="0"/>
                <w:i w:val="0"/>
                <w:sz w:val="20"/>
              </w:rPr>
              <w:t>Measure</w:t>
            </w:r>
          </w:p>
        </w:tc>
        <w:tc>
          <w:tcPr>
            <w:tcW w:type="dxa" w:w="4320"/>
          </w:tcPr>
          <w:p>
            <w:pPr>
              <w:spacing w:after="0"/>
            </w:pPr>
            <w:r/>
            <w:r>
              <w:rPr>
                <w:b w:val="0"/>
                <w:i w:val="0"/>
                <w:sz w:val="20"/>
              </w:rPr>
              <w:t>Testing, evaluation, and tracking of AI risk and performance</w:t>
            </w:r>
          </w:p>
        </w:tc>
        <w:tc>
          <w:tcPr>
            <w:tcW w:type="dxa" w:w="2736"/>
          </w:tcPr>
          <w:p>
            <w:pPr>
              <w:spacing w:after="0"/>
            </w:pPr>
            <w:r/>
            <w:r>
              <w:rPr>
                <w:b w:val="0"/>
                <w:i w:val="0"/>
                <w:sz w:val="20"/>
              </w:rPr>
              <w:t>11, 12, 16</w:t>
            </w:r>
          </w:p>
        </w:tc>
      </w:tr>
      <w:tr>
        <w:trPr>
          <w:cantSplit/>
        </w:trPr>
        <w:tc>
          <w:tcPr>
            <w:tcW w:type="dxa" w:w="2304"/>
            <w:shd w:val="clear" w:color="auto" w:fill="EEF5FD"/>
          </w:tcPr>
          <w:p>
            <w:pPr>
              <w:spacing w:after="0"/>
            </w:pPr>
            <w:r/>
            <w:r>
              <w:rPr>
                <w:b w:val="0"/>
                <w:i w:val="0"/>
                <w:sz w:val="20"/>
              </w:rPr>
              <w:t>Manage</w:t>
            </w:r>
          </w:p>
        </w:tc>
        <w:tc>
          <w:tcPr>
            <w:tcW w:type="dxa" w:w="4320"/>
            <w:shd w:val="clear" w:color="auto" w:fill="EEF5FD"/>
          </w:tcPr>
          <w:p>
            <w:pPr>
              <w:spacing w:after="0"/>
            </w:pPr>
            <w:r/>
            <w:r>
              <w:rPr>
                <w:b w:val="0"/>
                <w:i w:val="0"/>
                <w:sz w:val="20"/>
              </w:rPr>
              <w:t>Prioritizing and responding to risks, incidents, and third-party AI</w:t>
            </w:r>
          </w:p>
        </w:tc>
        <w:tc>
          <w:tcPr>
            <w:tcW w:type="dxa" w:w="2736"/>
            <w:shd w:val="clear" w:color="auto" w:fill="EEF5FD"/>
          </w:tcPr>
          <w:p>
            <w:pPr>
              <w:spacing w:after="0"/>
            </w:pPr>
            <w:r/>
            <w:r>
              <w:rPr>
                <w:b w:val="0"/>
                <w:i w:val="0"/>
                <w:sz w:val="20"/>
              </w:rPr>
              <w:t>7, 9, 12, 15, 17</w:t>
            </w:r>
          </w:p>
        </w:tc>
      </w:tr>
    </w:tbl>
    <w:p>
      <w:pPr>
        <w:spacing w:after="40"/>
      </w:pPr>
    </w:p>
    <w:p/>
    <w:p>
      <w:r>
        <w:rPr>
          <w:b w:val="0"/>
          <w:i/>
          <w:color w:val="6B7280"/>
          <w:sz w:val="19"/>
        </w:rPr>
        <w:t>Need help putting this policy into practice? Vorentoe helps organizations adopt AI with governance built in, from readiness assessments to governed AI workflows and fractional AI governance leadership. Visit govorentoe.com/ai-governance or email info@govorentoe.com.</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i w:val="0"/>
        <w:color w:val="1565C0"/>
        <w:sz w:val="16"/>
      </w:rPr>
      <w:t>[Company Name]</w:t>
    </w:r>
    <w:r>
      <w:rPr>
        <w:b w:val="0"/>
        <w:i w:val="0"/>
        <w:color w:val="6B7280"/>
        <w:sz w:val="16"/>
      </w:rPr>
      <w:t xml:space="preserve"> AI Acceptable Use Policy · v</w:t>
    </w:r>
    <w:r>
      <w:rPr>
        <w:b/>
        <w:i w:val="0"/>
        <w:color w:val="1565C0"/>
        <w:sz w:val="16"/>
      </w:rPr>
      <w:t>[1.0]</w:t>
    </w:r>
    <w:r>
      <w:rPr>
        <w:b w:val="0"/>
        <w:i w:val="0"/>
        <w:color w:val="6B7280"/>
        <w:sz w:val="16"/>
      </w:rPr>
      <w:t xml:space="preserve"> · Template by Vorentoe LLC ·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565C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565C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subject>AI governance</dc:subject>
  <dc:creator>Vorentoe LLC</dc:creator>
  <cp:keywords>AI policy, acceptable use, AI governance, NIST AI RMF</cp:keywords>
  <dc:description>generated by python-docx</dc:description>
  <cp:lastModifiedBy/>
  <cp:revision>1</cp:revision>
  <dcterms:created xsi:type="dcterms:W3CDTF">2013-12-23T23:15:00Z</dcterms:created>
  <dcterms:modified xsi:type="dcterms:W3CDTF">2013-12-23T23:15:00Z</dcterms:modified>
  <cp:category/>
</cp:coreProperties>
</file>